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A0B47" w14:textId="77777777" w:rsidR="00D14ED8" w:rsidRPr="00104C02" w:rsidRDefault="00D14ED8" w:rsidP="00D14ED8">
      <w:pPr>
        <w:spacing w:after="0" w:line="240" w:lineRule="auto"/>
        <w:jc w:val="both"/>
        <w:rPr>
          <w:rFonts w:ascii="Calibri" w:eastAsia="Times New Roman" w:hAnsi="Calibri" w:cs="Calibri"/>
          <w:b/>
          <w:bCs/>
          <w:sz w:val="24"/>
          <w:szCs w:val="24"/>
          <w:lang w:eastAsia="pl-PL"/>
        </w:rPr>
      </w:pPr>
      <w:r w:rsidRPr="00104C02">
        <w:rPr>
          <w:rFonts w:ascii="Calibri" w:eastAsia="Times New Roman" w:hAnsi="Calibri" w:cs="Calibri"/>
          <w:b/>
          <w:bCs/>
          <w:sz w:val="24"/>
          <w:szCs w:val="24"/>
          <w:lang w:eastAsia="pl-PL"/>
        </w:rPr>
        <w:t>Wybrane orzecznictwo:</w:t>
      </w:r>
    </w:p>
    <w:p w14:paraId="122F7DAF" w14:textId="77777777" w:rsidR="00D14ED8" w:rsidRPr="006A4F34" w:rsidRDefault="00D14ED8" w:rsidP="00D14ED8">
      <w:pPr>
        <w:pStyle w:val="Akapitzlist"/>
        <w:widowControl w:val="0"/>
        <w:spacing w:after="0" w:line="240" w:lineRule="auto"/>
        <w:jc w:val="both"/>
        <w:rPr>
          <w:rFonts w:ascii="Calibri" w:eastAsia="Times New Roman" w:hAnsi="Calibri" w:cs="Arial"/>
          <w:b/>
          <w:color w:val="000000"/>
          <w:sz w:val="24"/>
          <w:szCs w:val="24"/>
          <w:lang w:eastAsia="pl-PL"/>
        </w:rPr>
      </w:pPr>
    </w:p>
    <w:p w14:paraId="42F562B7" w14:textId="77777777" w:rsidR="00D14ED8" w:rsidRPr="00243D97" w:rsidRDefault="00D14ED8" w:rsidP="00D14ED8">
      <w:pPr>
        <w:pStyle w:val="Akapitzlist"/>
        <w:widowControl w:val="0"/>
        <w:numPr>
          <w:ilvl w:val="0"/>
          <w:numId w:val="1"/>
        </w:numPr>
        <w:spacing w:after="0" w:line="240" w:lineRule="auto"/>
        <w:jc w:val="both"/>
        <w:rPr>
          <w:rFonts w:ascii="Calibri" w:eastAsia="Times New Roman" w:hAnsi="Calibri" w:cs="Arial"/>
          <w:b/>
          <w:color w:val="000000"/>
          <w:sz w:val="24"/>
          <w:szCs w:val="24"/>
          <w:lang w:eastAsia="pl-PL"/>
        </w:rPr>
      </w:pPr>
      <w:r>
        <w:rPr>
          <w:rFonts w:ascii="Calibri" w:eastAsia="Times New Roman" w:hAnsi="Calibri" w:cs="Calibri"/>
          <w:b/>
          <w:sz w:val="24"/>
          <w:szCs w:val="24"/>
          <w:lang w:eastAsia="pl-PL"/>
        </w:rPr>
        <w:t>Wyrok</w:t>
      </w:r>
      <w:r w:rsidRPr="00243D97">
        <w:rPr>
          <w:rFonts w:ascii="Calibri" w:eastAsia="Times New Roman" w:hAnsi="Calibri" w:cs="Calibri"/>
          <w:b/>
          <w:sz w:val="24"/>
          <w:szCs w:val="24"/>
          <w:lang w:eastAsia="pl-PL"/>
        </w:rPr>
        <w:t xml:space="preserve"> SN </w:t>
      </w:r>
      <w:r w:rsidRPr="00243D97">
        <w:rPr>
          <w:rFonts w:ascii="Calibri" w:eastAsia="Times New Roman" w:hAnsi="Calibri" w:cs="Arial"/>
          <w:b/>
          <w:color w:val="000000"/>
          <w:sz w:val="24"/>
          <w:szCs w:val="24"/>
          <w:lang w:eastAsia="pl-PL"/>
        </w:rPr>
        <w:t xml:space="preserve">z dnia </w:t>
      </w:r>
      <w:r>
        <w:rPr>
          <w:rFonts w:ascii="Calibri" w:eastAsia="Times New Roman" w:hAnsi="Calibri" w:cs="Arial"/>
          <w:b/>
          <w:color w:val="000000"/>
          <w:sz w:val="24"/>
          <w:szCs w:val="24"/>
          <w:lang w:eastAsia="pl-PL"/>
        </w:rPr>
        <w:t>4</w:t>
      </w:r>
      <w:r w:rsidRPr="00243D97">
        <w:rPr>
          <w:rFonts w:ascii="Calibri" w:eastAsia="Times New Roman" w:hAnsi="Calibri" w:cs="Arial"/>
          <w:b/>
          <w:color w:val="000000"/>
          <w:sz w:val="24"/>
          <w:szCs w:val="24"/>
          <w:lang w:eastAsia="pl-PL"/>
        </w:rPr>
        <w:t xml:space="preserve"> </w:t>
      </w:r>
      <w:r>
        <w:rPr>
          <w:rFonts w:ascii="Calibri" w:eastAsia="Times New Roman" w:hAnsi="Calibri" w:cs="Arial"/>
          <w:b/>
          <w:color w:val="000000"/>
          <w:sz w:val="24"/>
          <w:szCs w:val="24"/>
          <w:lang w:eastAsia="pl-PL"/>
        </w:rPr>
        <w:t>sierpnia</w:t>
      </w:r>
      <w:r w:rsidRPr="00243D97">
        <w:rPr>
          <w:rFonts w:ascii="Calibri" w:eastAsia="Times New Roman" w:hAnsi="Calibri" w:cs="Arial"/>
          <w:b/>
          <w:color w:val="000000"/>
          <w:sz w:val="24"/>
          <w:szCs w:val="24"/>
          <w:lang w:eastAsia="pl-PL"/>
        </w:rPr>
        <w:t xml:space="preserve"> 20</w:t>
      </w:r>
      <w:r>
        <w:rPr>
          <w:rFonts w:ascii="Calibri" w:eastAsia="Times New Roman" w:hAnsi="Calibri" w:cs="Arial"/>
          <w:b/>
          <w:color w:val="000000"/>
          <w:sz w:val="24"/>
          <w:szCs w:val="24"/>
          <w:lang w:eastAsia="pl-PL"/>
        </w:rPr>
        <w:t>05</w:t>
      </w:r>
      <w:r w:rsidRPr="00243D97">
        <w:rPr>
          <w:rFonts w:ascii="Calibri" w:eastAsia="Times New Roman" w:hAnsi="Calibri" w:cs="Arial"/>
          <w:b/>
          <w:color w:val="000000"/>
          <w:sz w:val="24"/>
          <w:szCs w:val="24"/>
          <w:lang w:eastAsia="pl-PL"/>
        </w:rPr>
        <w:t xml:space="preserve"> r., II </w:t>
      </w:r>
      <w:r>
        <w:rPr>
          <w:rFonts w:ascii="Calibri" w:eastAsia="Times New Roman" w:hAnsi="Calibri" w:cs="Arial"/>
          <w:b/>
          <w:color w:val="000000"/>
          <w:sz w:val="24"/>
          <w:szCs w:val="24"/>
          <w:lang w:eastAsia="pl-PL"/>
        </w:rPr>
        <w:t>UK</w:t>
      </w:r>
      <w:r w:rsidRPr="00243D97">
        <w:rPr>
          <w:rFonts w:ascii="Calibri" w:eastAsia="Times New Roman" w:hAnsi="Calibri" w:cs="Arial"/>
          <w:b/>
          <w:color w:val="000000"/>
          <w:sz w:val="24"/>
          <w:szCs w:val="24"/>
          <w:lang w:eastAsia="pl-PL"/>
        </w:rPr>
        <w:t xml:space="preserve"> </w:t>
      </w:r>
      <w:r>
        <w:rPr>
          <w:rFonts w:ascii="Calibri" w:eastAsia="Times New Roman" w:hAnsi="Calibri" w:cs="Arial"/>
          <w:b/>
          <w:color w:val="000000"/>
          <w:sz w:val="24"/>
          <w:szCs w:val="24"/>
          <w:lang w:eastAsia="pl-PL"/>
        </w:rPr>
        <w:t>321</w:t>
      </w:r>
      <w:r w:rsidRPr="00243D97">
        <w:rPr>
          <w:rFonts w:ascii="Calibri" w:eastAsia="Times New Roman" w:hAnsi="Calibri" w:cs="Arial"/>
          <w:b/>
          <w:color w:val="000000"/>
          <w:sz w:val="24"/>
          <w:szCs w:val="24"/>
          <w:lang w:eastAsia="pl-PL"/>
        </w:rPr>
        <w:t>/</w:t>
      </w:r>
      <w:r>
        <w:rPr>
          <w:rFonts w:ascii="Calibri" w:eastAsia="Times New Roman" w:hAnsi="Calibri" w:cs="Arial"/>
          <w:b/>
          <w:color w:val="000000"/>
          <w:sz w:val="24"/>
          <w:szCs w:val="24"/>
          <w:lang w:eastAsia="pl-PL"/>
        </w:rPr>
        <w:t>04</w:t>
      </w:r>
    </w:p>
    <w:p w14:paraId="5AD8CC8A" w14:textId="77777777" w:rsidR="00D14ED8" w:rsidRDefault="00D14ED8" w:rsidP="00D14ED8">
      <w:pPr>
        <w:pStyle w:val="Akapitzlist"/>
        <w:widowControl w:val="0"/>
        <w:spacing w:after="0" w:line="240" w:lineRule="auto"/>
        <w:jc w:val="both"/>
        <w:rPr>
          <w:rFonts w:ascii="Calibri" w:eastAsia="Times New Roman" w:hAnsi="Calibri" w:cs="Arial"/>
          <w:bCs/>
          <w:color w:val="000000"/>
          <w:sz w:val="24"/>
          <w:szCs w:val="24"/>
          <w:lang w:eastAsia="pl-PL"/>
        </w:rPr>
      </w:pPr>
    </w:p>
    <w:p w14:paraId="4A2B9D9A" w14:textId="77777777" w:rsidR="00D14ED8" w:rsidRPr="00104C02" w:rsidRDefault="00D14ED8" w:rsidP="00D14ED8">
      <w:pPr>
        <w:widowControl w:val="0"/>
        <w:spacing w:after="0" w:line="360" w:lineRule="auto"/>
        <w:jc w:val="both"/>
        <w:rPr>
          <w:rFonts w:ascii="Calibri" w:eastAsia="Times New Roman" w:hAnsi="Calibri" w:cs="Calibri"/>
          <w:sz w:val="24"/>
          <w:szCs w:val="24"/>
          <w:lang w:eastAsia="pl-PL"/>
        </w:rPr>
      </w:pPr>
      <w:r w:rsidRPr="00A30E56">
        <w:rPr>
          <w:rFonts w:ascii="Calibri" w:eastAsia="Times New Roman" w:hAnsi="Calibri" w:cs="Arial"/>
          <w:bCs/>
          <w:color w:val="000000"/>
          <w:sz w:val="24"/>
          <w:szCs w:val="24"/>
          <w:lang w:eastAsia="pl-PL"/>
        </w:rPr>
        <w:t>Umowę o pracę uważa się za zawartą dla pozoru (art. 83 § 1 k.c.), jeżeli przy składaniu oświadczeń woli obie strony mają świadomość, że osoba określona w umowie o pracę jako pracownik nie będzie świadczyć pracy, a osoba wskazana jako pracodawca nie będzie korzystać z jej pracy.</w:t>
      </w:r>
    </w:p>
    <w:p w14:paraId="064A0420" w14:textId="77777777" w:rsidR="00D14ED8" w:rsidRPr="00104C02" w:rsidRDefault="00D14ED8" w:rsidP="00D14ED8">
      <w:pPr>
        <w:widowControl w:val="0"/>
        <w:spacing w:after="0" w:line="240" w:lineRule="auto"/>
        <w:jc w:val="both"/>
        <w:rPr>
          <w:rFonts w:ascii="Calibri" w:eastAsia="Times New Roman" w:hAnsi="Calibri" w:cs="Arial"/>
          <w:bCs/>
          <w:color w:val="000000"/>
          <w:sz w:val="24"/>
          <w:szCs w:val="24"/>
          <w:lang w:eastAsia="pl-PL"/>
        </w:rPr>
      </w:pPr>
      <w:r w:rsidRPr="00104C02">
        <w:rPr>
          <w:rFonts w:ascii="Calibri" w:eastAsia="Times New Roman" w:hAnsi="Calibri" w:cs="Arial"/>
          <w:b/>
          <w:bCs/>
          <w:color w:val="000000"/>
          <w:sz w:val="24"/>
          <w:szCs w:val="24"/>
          <w:lang w:eastAsia="pl-PL"/>
        </w:rPr>
        <w:t xml:space="preserve">2. Wyrok SN z dnia </w:t>
      </w:r>
      <w:r>
        <w:rPr>
          <w:rFonts w:ascii="Calibri" w:eastAsia="Times New Roman" w:hAnsi="Calibri" w:cs="Arial"/>
          <w:b/>
          <w:bCs/>
          <w:color w:val="000000"/>
          <w:sz w:val="24"/>
          <w:szCs w:val="24"/>
          <w:lang w:eastAsia="pl-PL"/>
        </w:rPr>
        <w:t>30</w:t>
      </w:r>
      <w:r w:rsidRPr="00104C02">
        <w:rPr>
          <w:rFonts w:ascii="Calibri" w:eastAsia="Times New Roman" w:hAnsi="Calibri" w:cs="Arial"/>
          <w:b/>
          <w:bCs/>
          <w:color w:val="000000"/>
          <w:sz w:val="24"/>
          <w:szCs w:val="24"/>
          <w:lang w:eastAsia="pl-PL"/>
        </w:rPr>
        <w:t xml:space="preserve"> </w:t>
      </w:r>
      <w:r>
        <w:rPr>
          <w:rFonts w:ascii="Calibri" w:eastAsia="Times New Roman" w:hAnsi="Calibri" w:cs="Arial"/>
          <w:b/>
          <w:bCs/>
          <w:color w:val="000000"/>
          <w:sz w:val="24"/>
          <w:szCs w:val="24"/>
          <w:lang w:eastAsia="pl-PL"/>
        </w:rPr>
        <w:t>września</w:t>
      </w:r>
      <w:r w:rsidRPr="00104C02">
        <w:rPr>
          <w:rFonts w:ascii="Calibri" w:eastAsia="Times New Roman" w:hAnsi="Calibri" w:cs="Arial"/>
          <w:b/>
          <w:bCs/>
          <w:color w:val="000000"/>
          <w:sz w:val="24"/>
          <w:szCs w:val="24"/>
          <w:lang w:eastAsia="pl-PL"/>
        </w:rPr>
        <w:t xml:space="preserve"> 20</w:t>
      </w:r>
      <w:r>
        <w:rPr>
          <w:rFonts w:ascii="Calibri" w:eastAsia="Times New Roman" w:hAnsi="Calibri" w:cs="Arial"/>
          <w:b/>
          <w:bCs/>
          <w:color w:val="000000"/>
          <w:sz w:val="24"/>
          <w:szCs w:val="24"/>
          <w:lang w:eastAsia="pl-PL"/>
        </w:rPr>
        <w:t>08</w:t>
      </w:r>
      <w:r w:rsidRPr="00104C02">
        <w:rPr>
          <w:rFonts w:ascii="Calibri" w:eastAsia="Times New Roman" w:hAnsi="Calibri" w:cs="Arial"/>
          <w:b/>
          <w:bCs/>
          <w:color w:val="000000"/>
          <w:sz w:val="24"/>
          <w:szCs w:val="24"/>
          <w:lang w:eastAsia="pl-PL"/>
        </w:rPr>
        <w:t xml:space="preserve"> r., I</w:t>
      </w:r>
      <w:r>
        <w:rPr>
          <w:rFonts w:ascii="Calibri" w:eastAsia="Times New Roman" w:hAnsi="Calibri" w:cs="Arial"/>
          <w:b/>
          <w:bCs/>
          <w:color w:val="000000"/>
          <w:sz w:val="24"/>
          <w:szCs w:val="24"/>
          <w:lang w:eastAsia="pl-PL"/>
        </w:rPr>
        <w:t>I UK</w:t>
      </w:r>
      <w:r w:rsidRPr="00104C02">
        <w:rPr>
          <w:rFonts w:ascii="Calibri" w:eastAsia="Times New Roman" w:hAnsi="Calibri" w:cs="Arial"/>
          <w:b/>
          <w:bCs/>
          <w:color w:val="000000"/>
          <w:sz w:val="24"/>
          <w:szCs w:val="24"/>
          <w:lang w:eastAsia="pl-PL"/>
        </w:rPr>
        <w:t xml:space="preserve"> </w:t>
      </w:r>
      <w:r>
        <w:rPr>
          <w:rFonts w:ascii="Calibri" w:eastAsia="Times New Roman" w:hAnsi="Calibri" w:cs="Arial"/>
          <w:b/>
          <w:bCs/>
          <w:color w:val="000000"/>
          <w:sz w:val="24"/>
          <w:szCs w:val="24"/>
          <w:lang w:eastAsia="pl-PL"/>
        </w:rPr>
        <w:t>385</w:t>
      </w:r>
      <w:r w:rsidRPr="00104C02">
        <w:rPr>
          <w:rFonts w:ascii="Calibri" w:eastAsia="Times New Roman" w:hAnsi="Calibri" w:cs="Arial"/>
          <w:b/>
          <w:bCs/>
          <w:color w:val="000000"/>
          <w:sz w:val="24"/>
          <w:szCs w:val="24"/>
          <w:lang w:eastAsia="pl-PL"/>
        </w:rPr>
        <w:t>/</w:t>
      </w:r>
      <w:r>
        <w:rPr>
          <w:rFonts w:ascii="Calibri" w:eastAsia="Times New Roman" w:hAnsi="Calibri" w:cs="Arial"/>
          <w:b/>
          <w:bCs/>
          <w:color w:val="000000"/>
          <w:sz w:val="24"/>
          <w:szCs w:val="24"/>
          <w:lang w:eastAsia="pl-PL"/>
        </w:rPr>
        <w:t>07</w:t>
      </w:r>
    </w:p>
    <w:p w14:paraId="608CF7AB" w14:textId="77777777" w:rsidR="00D14ED8" w:rsidRDefault="00D14ED8" w:rsidP="00D14ED8">
      <w:pPr>
        <w:widowControl w:val="0"/>
        <w:spacing w:after="0" w:line="240" w:lineRule="auto"/>
        <w:jc w:val="both"/>
        <w:rPr>
          <w:rFonts w:ascii="Calibri" w:eastAsia="Times New Roman" w:hAnsi="Calibri" w:cs="Arial"/>
          <w:bCs/>
          <w:color w:val="000000"/>
          <w:sz w:val="24"/>
          <w:szCs w:val="24"/>
          <w:lang w:eastAsia="pl-PL"/>
        </w:rPr>
      </w:pPr>
    </w:p>
    <w:p w14:paraId="1B06563B" w14:textId="77777777" w:rsidR="00D14ED8" w:rsidRPr="00104C02" w:rsidRDefault="00D14ED8" w:rsidP="00D14ED8">
      <w:pPr>
        <w:widowControl w:val="0"/>
        <w:spacing w:after="0" w:line="360" w:lineRule="auto"/>
        <w:jc w:val="both"/>
        <w:rPr>
          <w:rFonts w:ascii="Calibri" w:eastAsia="Times New Roman" w:hAnsi="Calibri" w:cs="Arial"/>
          <w:bCs/>
          <w:color w:val="000000"/>
          <w:sz w:val="24"/>
          <w:szCs w:val="24"/>
          <w:lang w:eastAsia="pl-PL"/>
        </w:rPr>
      </w:pPr>
      <w:r w:rsidRPr="00A30E56">
        <w:rPr>
          <w:rFonts w:ascii="Calibri" w:eastAsia="Times New Roman" w:hAnsi="Calibri" w:cs="Arial"/>
          <w:bCs/>
          <w:color w:val="000000"/>
          <w:sz w:val="24"/>
          <w:szCs w:val="24"/>
          <w:lang w:eastAsia="pl-PL"/>
        </w:rPr>
        <w:t xml:space="preserve">O czynności prawnej (także zawarciu umowy) mającej na celu obejście ustawy można mówić wówczas, gdy czynność taka pozwala na uniknięcie zakazów, nakazów lub obciążeń wynikających z przepisu ustawy i tylko z takim zamiarem została dokonana. Nie ma na celu obejścia prawa dokonanie czynności prawnej dla osiągnięcia skutków, jakie ustawa wiąże z tą czynnością prawną. Skoro z zawarciem umowy o pracę ustawa o systemie ubezpieczeń społecznych wiąże obowiązek ubezpieczenia emerytalno-rentowego, chorobowego </w:t>
      </w:r>
      <w:r>
        <w:rPr>
          <w:rFonts w:ascii="Calibri" w:eastAsia="Times New Roman" w:hAnsi="Calibri" w:cs="Arial"/>
          <w:bCs/>
          <w:color w:val="000000"/>
          <w:sz w:val="24"/>
          <w:szCs w:val="24"/>
          <w:lang w:eastAsia="pl-PL"/>
        </w:rPr>
        <w:br/>
      </w:r>
      <w:r w:rsidRPr="00A30E56">
        <w:rPr>
          <w:rFonts w:ascii="Calibri" w:eastAsia="Times New Roman" w:hAnsi="Calibri" w:cs="Arial"/>
          <w:bCs/>
          <w:color w:val="000000"/>
          <w:sz w:val="24"/>
          <w:szCs w:val="24"/>
          <w:lang w:eastAsia="pl-PL"/>
        </w:rPr>
        <w:t>i wypadkowego, podjęcie zatrudnienia w celu objęcia ubezpieczeniem i ewentualnego korzystania ze świadczeń z tego ubezpieczenia nie jest obejściem prawa. Sama chęć uzyskania świadczeń z ubezpieczenia społecznego jako motywacja do podjęcia zatrudnienia nie świadczy o zamiarze obejścia prawa, podobnie jak inne cele stawiane sobie przez osoby zawierające umowy o pracę, takie jak na przykład chęć uzyskania środków utrzymania.</w:t>
      </w:r>
    </w:p>
    <w:p w14:paraId="5D26D99E" w14:textId="77777777" w:rsidR="00D14ED8" w:rsidRPr="00104C02" w:rsidRDefault="00D14ED8" w:rsidP="00D14ED8">
      <w:pPr>
        <w:widowControl w:val="0"/>
        <w:spacing w:after="0" w:line="240" w:lineRule="auto"/>
        <w:jc w:val="both"/>
        <w:rPr>
          <w:rFonts w:ascii="Calibri" w:eastAsia="Times New Roman" w:hAnsi="Calibri" w:cs="Arial"/>
          <w:bCs/>
          <w:color w:val="000000"/>
          <w:sz w:val="24"/>
          <w:szCs w:val="24"/>
          <w:lang w:eastAsia="pl-PL"/>
        </w:rPr>
      </w:pPr>
    </w:p>
    <w:p w14:paraId="3677677A" w14:textId="77777777" w:rsidR="00D14ED8" w:rsidRPr="00104C02" w:rsidRDefault="00D14ED8" w:rsidP="00D14ED8">
      <w:pPr>
        <w:widowControl w:val="0"/>
        <w:spacing w:after="0" w:line="240" w:lineRule="auto"/>
        <w:jc w:val="both"/>
        <w:rPr>
          <w:rFonts w:ascii="Calibri" w:eastAsia="Times New Roman" w:hAnsi="Calibri" w:cs="Arial"/>
          <w:b/>
          <w:sz w:val="24"/>
          <w:szCs w:val="24"/>
          <w:lang w:eastAsia="pl-PL"/>
        </w:rPr>
      </w:pPr>
      <w:r w:rsidRPr="00104C02">
        <w:rPr>
          <w:rFonts w:ascii="Calibri" w:eastAsia="Times New Roman" w:hAnsi="Calibri" w:cs="Arial"/>
          <w:b/>
          <w:sz w:val="24"/>
          <w:szCs w:val="24"/>
          <w:lang w:eastAsia="pl-PL"/>
        </w:rPr>
        <w:t xml:space="preserve">3. </w:t>
      </w:r>
      <w:r>
        <w:rPr>
          <w:rFonts w:ascii="Calibri" w:eastAsia="Times New Roman" w:hAnsi="Calibri" w:cs="Arial"/>
          <w:b/>
          <w:sz w:val="24"/>
          <w:szCs w:val="24"/>
          <w:lang w:eastAsia="pl-PL"/>
        </w:rPr>
        <w:t>Wyrok</w:t>
      </w:r>
      <w:r w:rsidRPr="00104C02">
        <w:rPr>
          <w:rFonts w:ascii="Calibri" w:eastAsia="Times New Roman" w:hAnsi="Calibri" w:cs="Arial"/>
          <w:b/>
          <w:sz w:val="24"/>
          <w:szCs w:val="24"/>
          <w:lang w:eastAsia="pl-PL"/>
        </w:rPr>
        <w:t xml:space="preserve"> SN z dnia </w:t>
      </w:r>
      <w:r>
        <w:rPr>
          <w:rFonts w:ascii="Calibri" w:eastAsia="Times New Roman" w:hAnsi="Calibri" w:cs="Arial"/>
          <w:b/>
          <w:sz w:val="24"/>
          <w:szCs w:val="24"/>
          <w:lang w:eastAsia="pl-PL"/>
        </w:rPr>
        <w:t>18</w:t>
      </w:r>
      <w:r w:rsidRPr="00104C02">
        <w:rPr>
          <w:rFonts w:ascii="Calibri" w:eastAsia="Times New Roman" w:hAnsi="Calibri" w:cs="Arial"/>
          <w:b/>
          <w:sz w:val="24"/>
          <w:szCs w:val="24"/>
          <w:lang w:eastAsia="pl-PL"/>
        </w:rPr>
        <w:t xml:space="preserve"> </w:t>
      </w:r>
      <w:r>
        <w:rPr>
          <w:rFonts w:ascii="Calibri" w:eastAsia="Times New Roman" w:hAnsi="Calibri" w:cs="Arial"/>
          <w:b/>
          <w:sz w:val="24"/>
          <w:szCs w:val="24"/>
          <w:lang w:eastAsia="pl-PL"/>
        </w:rPr>
        <w:t>listopada</w:t>
      </w:r>
      <w:r w:rsidRPr="00104C02">
        <w:rPr>
          <w:rFonts w:ascii="Calibri" w:eastAsia="Times New Roman" w:hAnsi="Calibri" w:cs="Arial"/>
          <w:b/>
          <w:sz w:val="24"/>
          <w:szCs w:val="24"/>
          <w:lang w:eastAsia="pl-PL"/>
        </w:rPr>
        <w:t xml:space="preserve"> 20</w:t>
      </w:r>
      <w:r>
        <w:rPr>
          <w:rFonts w:ascii="Calibri" w:eastAsia="Times New Roman" w:hAnsi="Calibri" w:cs="Arial"/>
          <w:b/>
          <w:sz w:val="24"/>
          <w:szCs w:val="24"/>
          <w:lang w:eastAsia="pl-PL"/>
        </w:rPr>
        <w:t>21</w:t>
      </w:r>
      <w:r w:rsidRPr="00104C02">
        <w:rPr>
          <w:rFonts w:ascii="Calibri" w:eastAsia="Times New Roman" w:hAnsi="Calibri" w:cs="Arial"/>
          <w:b/>
          <w:sz w:val="24"/>
          <w:szCs w:val="24"/>
          <w:lang w:eastAsia="pl-PL"/>
        </w:rPr>
        <w:t xml:space="preserve"> r., </w:t>
      </w:r>
      <w:r>
        <w:rPr>
          <w:rFonts w:ascii="Calibri" w:eastAsia="Times New Roman" w:hAnsi="Calibri" w:cs="Arial"/>
          <w:b/>
          <w:sz w:val="24"/>
          <w:szCs w:val="24"/>
          <w:lang w:eastAsia="pl-PL"/>
        </w:rPr>
        <w:t>I</w:t>
      </w:r>
      <w:r w:rsidRPr="00104C02">
        <w:rPr>
          <w:rFonts w:ascii="Calibri" w:eastAsia="Times New Roman" w:hAnsi="Calibri" w:cs="Arial"/>
          <w:b/>
          <w:sz w:val="24"/>
          <w:szCs w:val="24"/>
          <w:lang w:eastAsia="pl-PL"/>
        </w:rPr>
        <w:t>I</w:t>
      </w:r>
      <w:r>
        <w:rPr>
          <w:rFonts w:ascii="Calibri" w:eastAsia="Times New Roman" w:hAnsi="Calibri" w:cs="Arial"/>
          <w:b/>
          <w:sz w:val="24"/>
          <w:szCs w:val="24"/>
          <w:lang w:eastAsia="pl-PL"/>
        </w:rPr>
        <w:t>I USKP 82/21</w:t>
      </w:r>
    </w:p>
    <w:p w14:paraId="1DC98E6F" w14:textId="77777777" w:rsidR="00D14ED8" w:rsidRDefault="00D14ED8" w:rsidP="00D14ED8">
      <w:pPr>
        <w:spacing w:after="0" w:line="240" w:lineRule="auto"/>
        <w:jc w:val="both"/>
        <w:rPr>
          <w:rFonts w:ascii="Calibri" w:eastAsia="Times New Roman" w:hAnsi="Calibri" w:cs="Times New Roman"/>
          <w:sz w:val="24"/>
          <w:szCs w:val="24"/>
          <w:lang w:eastAsia="pl-PL"/>
        </w:rPr>
      </w:pPr>
    </w:p>
    <w:p w14:paraId="586A0D5E" w14:textId="77777777" w:rsidR="00D14ED8" w:rsidRDefault="00D14ED8" w:rsidP="00D14ED8">
      <w:pPr>
        <w:spacing w:after="0" w:line="360" w:lineRule="auto"/>
        <w:jc w:val="both"/>
        <w:rPr>
          <w:rFonts w:ascii="Calibri" w:eastAsia="Times New Roman" w:hAnsi="Calibri" w:cs="Times New Roman"/>
          <w:sz w:val="24"/>
          <w:szCs w:val="24"/>
          <w:lang w:eastAsia="pl-PL"/>
        </w:rPr>
      </w:pPr>
      <w:r w:rsidRPr="000D432E">
        <w:rPr>
          <w:rFonts w:ascii="Calibri" w:eastAsia="Times New Roman" w:hAnsi="Calibri" w:cs="Times New Roman"/>
          <w:sz w:val="24"/>
          <w:szCs w:val="24"/>
          <w:lang w:eastAsia="pl-PL"/>
        </w:rPr>
        <w:t xml:space="preserve">O pozorności umowy o pracę nie może także świadczyć to, że została zawarta w czasie trwającej ciąży. Dążenie kobiety ciężarnej do uzyskania ochrony ubezpieczeniowej (bez ustalenia wynagrodzenia za pracę na nadmiernie rażąco wysokim poziomie) jest zachowaniem rozsądnym i uzasadnionym, zarówno z osobistego, jak i społecznego punktu widzenia. Między innymi dlatego kobietom ciężarnym przysługuje ochrona przed odmową zatrudnienia </w:t>
      </w:r>
      <w:r>
        <w:rPr>
          <w:rFonts w:ascii="Calibri" w:eastAsia="Times New Roman" w:hAnsi="Calibri" w:cs="Times New Roman"/>
          <w:sz w:val="24"/>
          <w:szCs w:val="24"/>
          <w:lang w:eastAsia="pl-PL"/>
        </w:rPr>
        <w:br/>
      </w:r>
      <w:r w:rsidRPr="000D432E">
        <w:rPr>
          <w:rFonts w:ascii="Calibri" w:eastAsia="Times New Roman" w:hAnsi="Calibri" w:cs="Times New Roman"/>
          <w:sz w:val="24"/>
          <w:szCs w:val="24"/>
          <w:lang w:eastAsia="pl-PL"/>
        </w:rPr>
        <w:t>z powodu ciąży a odmowa nawiązania stosunku pracy podyktowana taką przyczyną jest traktowana jako dyskryminacja ze względu na płeć.</w:t>
      </w:r>
    </w:p>
    <w:p w14:paraId="778FAF34" w14:textId="77777777" w:rsidR="00D14ED8" w:rsidRDefault="00D14ED8" w:rsidP="00D14ED8">
      <w:pPr>
        <w:spacing w:after="0" w:line="240" w:lineRule="auto"/>
        <w:jc w:val="both"/>
        <w:rPr>
          <w:rFonts w:ascii="Calibri" w:eastAsia="Times New Roman" w:hAnsi="Calibri" w:cs="Times New Roman"/>
          <w:sz w:val="24"/>
          <w:szCs w:val="24"/>
          <w:lang w:eastAsia="pl-PL"/>
        </w:rPr>
      </w:pPr>
    </w:p>
    <w:p w14:paraId="5E4158D9" w14:textId="77777777" w:rsidR="00D14ED8" w:rsidRDefault="00D14ED8" w:rsidP="00D14ED8">
      <w:pPr>
        <w:spacing w:after="0" w:line="240" w:lineRule="auto"/>
        <w:jc w:val="both"/>
        <w:rPr>
          <w:rFonts w:ascii="Calibri" w:eastAsia="Times New Roman" w:hAnsi="Calibri" w:cs="Times New Roman"/>
          <w:sz w:val="24"/>
          <w:szCs w:val="24"/>
          <w:lang w:eastAsia="pl-PL"/>
        </w:rPr>
      </w:pPr>
    </w:p>
    <w:p w14:paraId="0BFA5986" w14:textId="77777777" w:rsidR="00D14ED8" w:rsidRDefault="00D14ED8" w:rsidP="00D14ED8">
      <w:pPr>
        <w:spacing w:after="0" w:line="240" w:lineRule="auto"/>
        <w:jc w:val="both"/>
        <w:rPr>
          <w:rFonts w:ascii="Calibri" w:eastAsia="Times New Roman" w:hAnsi="Calibri" w:cs="Times New Roman"/>
          <w:sz w:val="24"/>
          <w:szCs w:val="24"/>
          <w:lang w:eastAsia="pl-PL"/>
        </w:rPr>
      </w:pPr>
    </w:p>
    <w:p w14:paraId="1E49113F" w14:textId="77777777" w:rsidR="00D14ED8" w:rsidRDefault="00D14ED8" w:rsidP="00D14ED8">
      <w:pPr>
        <w:spacing w:after="0" w:line="240" w:lineRule="auto"/>
        <w:jc w:val="both"/>
        <w:rPr>
          <w:rFonts w:ascii="Calibri" w:eastAsia="Times New Roman" w:hAnsi="Calibri" w:cs="Times New Roman"/>
          <w:sz w:val="24"/>
          <w:szCs w:val="24"/>
          <w:lang w:eastAsia="pl-PL"/>
        </w:rPr>
      </w:pPr>
    </w:p>
    <w:p w14:paraId="74274DC3" w14:textId="77777777" w:rsidR="00D14ED8" w:rsidRDefault="00D14ED8" w:rsidP="00D14ED8">
      <w:pPr>
        <w:spacing w:after="0" w:line="240" w:lineRule="auto"/>
        <w:jc w:val="both"/>
        <w:rPr>
          <w:rFonts w:ascii="Calibri" w:eastAsia="Times New Roman" w:hAnsi="Calibri" w:cs="Times New Roman"/>
          <w:sz w:val="24"/>
          <w:szCs w:val="24"/>
          <w:lang w:eastAsia="pl-PL"/>
        </w:rPr>
      </w:pPr>
    </w:p>
    <w:p w14:paraId="22DF34AB" w14:textId="77777777" w:rsidR="00D14ED8" w:rsidRPr="00104C02" w:rsidRDefault="00D14ED8" w:rsidP="00D14ED8">
      <w:pPr>
        <w:spacing w:after="0" w:line="240" w:lineRule="auto"/>
        <w:jc w:val="both"/>
        <w:rPr>
          <w:rFonts w:ascii="Calibri" w:eastAsia="Times New Roman" w:hAnsi="Calibri" w:cs="Arial"/>
          <w:b/>
          <w:sz w:val="24"/>
          <w:szCs w:val="24"/>
          <w:lang w:eastAsia="pl-PL"/>
        </w:rPr>
      </w:pPr>
      <w:r w:rsidRPr="00104C02">
        <w:rPr>
          <w:rFonts w:ascii="Calibri" w:eastAsia="Times New Roman" w:hAnsi="Calibri" w:cs="Times New Roman"/>
          <w:sz w:val="24"/>
          <w:szCs w:val="24"/>
          <w:lang w:eastAsia="pl-PL"/>
        </w:rPr>
        <w:lastRenderedPageBreak/>
        <w:t xml:space="preserve">4. </w:t>
      </w:r>
      <w:r>
        <w:rPr>
          <w:rFonts w:ascii="Calibri" w:eastAsia="Times New Roman" w:hAnsi="Calibri" w:cs="Arial"/>
          <w:b/>
          <w:sz w:val="24"/>
          <w:szCs w:val="24"/>
          <w:lang w:eastAsia="pl-PL"/>
        </w:rPr>
        <w:t>Postanowienie</w:t>
      </w:r>
      <w:r w:rsidRPr="00104C02">
        <w:rPr>
          <w:rFonts w:ascii="Calibri" w:eastAsia="Times New Roman" w:hAnsi="Calibri" w:cs="Arial"/>
          <w:b/>
          <w:sz w:val="24"/>
          <w:szCs w:val="24"/>
          <w:lang w:eastAsia="pl-PL"/>
        </w:rPr>
        <w:t xml:space="preserve"> SN z dnia </w:t>
      </w:r>
      <w:r>
        <w:rPr>
          <w:rFonts w:ascii="Calibri" w:eastAsia="Times New Roman" w:hAnsi="Calibri" w:cs="Arial"/>
          <w:b/>
          <w:sz w:val="24"/>
          <w:szCs w:val="24"/>
          <w:lang w:eastAsia="pl-PL"/>
        </w:rPr>
        <w:t>26</w:t>
      </w:r>
      <w:r w:rsidRPr="00104C02">
        <w:rPr>
          <w:rFonts w:ascii="Calibri" w:eastAsia="Times New Roman" w:hAnsi="Calibri" w:cs="Arial"/>
          <w:b/>
          <w:sz w:val="24"/>
          <w:szCs w:val="24"/>
          <w:lang w:eastAsia="pl-PL"/>
        </w:rPr>
        <w:t xml:space="preserve"> </w:t>
      </w:r>
      <w:r>
        <w:rPr>
          <w:rFonts w:ascii="Calibri" w:eastAsia="Times New Roman" w:hAnsi="Calibri" w:cs="Arial"/>
          <w:b/>
          <w:sz w:val="24"/>
          <w:szCs w:val="24"/>
          <w:lang w:eastAsia="pl-PL"/>
        </w:rPr>
        <w:t>listopada</w:t>
      </w:r>
      <w:r w:rsidRPr="00104C02">
        <w:rPr>
          <w:rFonts w:ascii="Calibri" w:eastAsia="Times New Roman" w:hAnsi="Calibri" w:cs="Arial"/>
          <w:b/>
          <w:sz w:val="24"/>
          <w:szCs w:val="24"/>
          <w:lang w:eastAsia="pl-PL"/>
        </w:rPr>
        <w:t xml:space="preserve"> 20</w:t>
      </w:r>
      <w:r>
        <w:rPr>
          <w:rFonts w:ascii="Calibri" w:eastAsia="Times New Roman" w:hAnsi="Calibri" w:cs="Arial"/>
          <w:b/>
          <w:sz w:val="24"/>
          <w:szCs w:val="24"/>
          <w:lang w:eastAsia="pl-PL"/>
        </w:rPr>
        <w:t>20</w:t>
      </w:r>
      <w:r w:rsidRPr="00104C02">
        <w:rPr>
          <w:rFonts w:ascii="Calibri" w:eastAsia="Times New Roman" w:hAnsi="Calibri" w:cs="Arial"/>
          <w:b/>
          <w:sz w:val="24"/>
          <w:szCs w:val="24"/>
          <w:lang w:eastAsia="pl-PL"/>
        </w:rPr>
        <w:t xml:space="preserve"> r., I</w:t>
      </w:r>
      <w:r>
        <w:rPr>
          <w:rFonts w:ascii="Calibri" w:eastAsia="Times New Roman" w:hAnsi="Calibri" w:cs="Arial"/>
          <w:b/>
          <w:sz w:val="24"/>
          <w:szCs w:val="24"/>
          <w:lang w:eastAsia="pl-PL"/>
        </w:rPr>
        <w:t>I</w:t>
      </w:r>
      <w:r w:rsidRPr="00104C02">
        <w:rPr>
          <w:rFonts w:ascii="Calibri" w:eastAsia="Times New Roman" w:hAnsi="Calibri" w:cs="Arial"/>
          <w:b/>
          <w:sz w:val="24"/>
          <w:szCs w:val="24"/>
          <w:lang w:eastAsia="pl-PL"/>
        </w:rPr>
        <w:t xml:space="preserve"> </w:t>
      </w:r>
      <w:r>
        <w:rPr>
          <w:rFonts w:ascii="Calibri" w:eastAsia="Times New Roman" w:hAnsi="Calibri" w:cs="Arial"/>
          <w:b/>
          <w:sz w:val="24"/>
          <w:szCs w:val="24"/>
          <w:lang w:eastAsia="pl-PL"/>
        </w:rPr>
        <w:t>UK</w:t>
      </w:r>
      <w:r w:rsidRPr="00104C02">
        <w:rPr>
          <w:rFonts w:ascii="Calibri" w:eastAsia="Times New Roman" w:hAnsi="Calibri" w:cs="Arial"/>
          <w:b/>
          <w:sz w:val="24"/>
          <w:szCs w:val="24"/>
          <w:lang w:eastAsia="pl-PL"/>
        </w:rPr>
        <w:t xml:space="preserve"> </w:t>
      </w:r>
      <w:r>
        <w:rPr>
          <w:rFonts w:ascii="Calibri" w:eastAsia="Times New Roman" w:hAnsi="Calibri" w:cs="Arial"/>
          <w:b/>
          <w:sz w:val="24"/>
          <w:szCs w:val="24"/>
          <w:lang w:eastAsia="pl-PL"/>
        </w:rPr>
        <w:t>323</w:t>
      </w:r>
      <w:r w:rsidRPr="00104C02">
        <w:rPr>
          <w:rFonts w:ascii="Calibri" w:eastAsia="Times New Roman" w:hAnsi="Calibri" w:cs="Arial"/>
          <w:b/>
          <w:sz w:val="24"/>
          <w:szCs w:val="24"/>
          <w:lang w:eastAsia="pl-PL"/>
        </w:rPr>
        <w:t>/</w:t>
      </w:r>
      <w:r>
        <w:rPr>
          <w:rFonts w:ascii="Calibri" w:eastAsia="Times New Roman" w:hAnsi="Calibri" w:cs="Arial"/>
          <w:b/>
          <w:sz w:val="24"/>
          <w:szCs w:val="24"/>
          <w:lang w:eastAsia="pl-PL"/>
        </w:rPr>
        <w:t>19</w:t>
      </w:r>
    </w:p>
    <w:p w14:paraId="67F43D4A" w14:textId="77777777" w:rsidR="00D14ED8" w:rsidRDefault="00D14ED8" w:rsidP="00D14ED8">
      <w:pPr>
        <w:rPr>
          <w:rFonts w:ascii="Calibri" w:eastAsia="Times New Roman" w:hAnsi="Calibri" w:cs="Times New Roman"/>
          <w:sz w:val="24"/>
          <w:szCs w:val="24"/>
          <w:lang w:eastAsia="pl-PL"/>
        </w:rPr>
      </w:pPr>
    </w:p>
    <w:p w14:paraId="1FE0306D" w14:textId="77777777" w:rsidR="00D14ED8" w:rsidRDefault="00D14ED8" w:rsidP="00D14ED8">
      <w:pPr>
        <w:spacing w:line="360" w:lineRule="auto"/>
        <w:jc w:val="both"/>
      </w:pPr>
      <w:r w:rsidRPr="000D432E">
        <w:rPr>
          <w:rFonts w:ascii="Calibri" w:eastAsia="Times New Roman" w:hAnsi="Calibri" w:cs="Times New Roman"/>
          <w:sz w:val="24"/>
          <w:szCs w:val="24"/>
          <w:lang w:eastAsia="pl-PL"/>
        </w:rPr>
        <w:t xml:space="preserve">Oświadczenie woli jest złożone dla pozoru, jeżeli jest symulowane. Symulacja ta musi się składać z dwóch elementów. Po pierwsze, strony, które dokonują symulowanej czynności prawnej, próbują wywołać wobec osób trzecich przeświadczenie (niezgodne </w:t>
      </w:r>
      <w:r>
        <w:rPr>
          <w:rFonts w:ascii="Calibri" w:eastAsia="Times New Roman" w:hAnsi="Calibri" w:cs="Times New Roman"/>
          <w:sz w:val="24"/>
          <w:szCs w:val="24"/>
          <w:lang w:eastAsia="pl-PL"/>
        </w:rPr>
        <w:br/>
      </w:r>
      <w:r w:rsidRPr="000D432E">
        <w:rPr>
          <w:rFonts w:ascii="Calibri" w:eastAsia="Times New Roman" w:hAnsi="Calibri" w:cs="Times New Roman"/>
          <w:sz w:val="24"/>
          <w:szCs w:val="24"/>
          <w:lang w:eastAsia="pl-PL"/>
        </w:rPr>
        <w:t>z rzeczywistością), że ich zamiarem jest wywołanie skutków prawnych, objętych treścią ich oświadczeń woli. Po drugie, musi między stronami istnieć tajne, niedostępne osobom trzecim porozumienie, że te oświadczenia woli nie mają wywołać zwykłych skutków prawnych (akt konfidencji); jest to porozumienie co do tego, że zamiar wyrażony w treści symulowanych oświadczeń woli nie istnieje lub że zamiar ten jest inny niż ujawniony w symulowanych oświadczeniach. Niezgodność rzeczywistego zamiaru stron z treścią czynności prawnej musi odnosić się do jej skuteczności prawnej, woli powołania do życia określonego stosunku prawnego. Nie powoduje natomiast pozorności wskazanie przez strony fałszywych pobudek, daty lub miejsca zawarcia umowy, powołanie się na nieprawdziwe fakty, wadliwe nazwanie umowy lub poszczególnych praw i obowiązków.</w:t>
      </w:r>
    </w:p>
    <w:p w14:paraId="76AE98B1" w14:textId="77777777" w:rsidR="00D14ED8" w:rsidRDefault="00D14ED8" w:rsidP="00D14ED8"/>
    <w:p w14:paraId="16224038" w14:textId="77777777" w:rsidR="003C23FF" w:rsidRDefault="003C23FF"/>
    <w:sectPr w:rsidR="003C23FF" w:rsidSect="002B1D0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2E0311"/>
    <w:multiLevelType w:val="hybridMultilevel"/>
    <w:tmpl w:val="242E6280"/>
    <w:lvl w:ilvl="0" w:tplc="7CA2E508">
      <w:start w:val="1"/>
      <w:numFmt w:val="decimal"/>
      <w:lvlText w:val="%1."/>
      <w:lvlJc w:val="left"/>
      <w:pPr>
        <w:ind w:left="720" w:hanging="360"/>
      </w:pPr>
      <w:rPr>
        <w:rFonts w:cs="Calibri"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589582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ED8"/>
    <w:rsid w:val="003C23FF"/>
    <w:rsid w:val="00D14ED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E807F"/>
  <w15:chartTrackingRefBased/>
  <w15:docId w15:val="{9CA71B94-A77A-4E9F-A0E5-34F2FAEA5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14ED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14E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444</Words>
  <Characters>2664</Characters>
  <Application>Microsoft Office Word</Application>
  <DocSecurity>0</DocSecurity>
  <Lines>22</Lines>
  <Paragraphs>6</Paragraphs>
  <ScaleCrop>false</ScaleCrop>
  <Company/>
  <LinksUpToDate>false</LinksUpToDate>
  <CharactersWithSpaces>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Grzegorz Szynal</dc:creator>
  <cp:keywords/>
  <dc:description/>
  <cp:lastModifiedBy>Grzegorz Szynal</cp:lastModifiedBy>
  <cp:revision>1</cp:revision>
  <dcterms:created xsi:type="dcterms:W3CDTF">2023-01-30T15:00:00Z</dcterms:created>
  <dcterms:modified xsi:type="dcterms:W3CDTF">2023-01-30T15:02:00Z</dcterms:modified>
</cp:coreProperties>
</file>