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8.0.0 (Apache licensed) using REFERENCE JAXB in ojdkbuild Java 11.0.13 on Linux -->
    <w:p>
      <w:pPr>
        <w:pStyle w:val="TitleStyle"/>
      </w:pPr>
      <w:r>
        <w:t>K 18/05 - Wyrok Trybunału Konstytucyjnego </w:t>
      </w:r>
    </w:p>
    <w:p>
      <w:pPr>
        <w:pStyle w:val="NormalStyle"/>
      </w:pPr>
      <w:r>
        <w:t>Opublikowano: OTK-A 2008/4/56, Dz.U.2008/82/503, LEX nr 372375</w:t>
      </w:r>
    </w:p>
    <w:p>
      <w:pPr>
        <w:pStyle w:val="HeaderStyle"/>
      </w:pPr>
      <w:r>
        <w:t>Wyrok</w:t>
      </w:r>
    </w:p>
    <w:p>
      <w:pPr>
        <w:pStyle w:val="HeaderStyle"/>
      </w:pPr>
      <w:r>
        <w:t>Trybunału Konstytucyjnego </w:t>
      </w:r>
    </w:p>
    <w:p>
      <w:pPr>
        <w:pStyle w:val="HeaderStyle"/>
      </w:pPr>
      <w:r>
        <w:t>z dnia 6 maja 2008 r.</w:t>
      </w:r>
    </w:p>
    <w:p>
      <w:pPr>
        <w:pStyle w:val="HeaderStyle"/>
      </w:pPr>
      <w:r>
        <w:t>K 18/05</w:t>
      </w:r>
    </w:p>
    <w:p>
      <w:pPr>
        <w:pStyle w:val="HeaderStyle"/>
      </w:pPr>
      <w:r>
        <w:t>TEZA aktualna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1. Art. 18 ustawy z dnia 15 listopada 1984 r. o podatku rolnym (Dz. U. z 2006 r. Nr 136, poz. 969, Nr 191, poz. 1412, Nr 245, poz. 1775 i Nr 249, poz. 1825 oraz z 2007 r. Nr 109, poz. 747) jest zgodny z art. 2 Konstytucji Rzeczypospolitej Polskiej.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2. Art. 8 ust. 9 ustawy z dnia 12 marca 2004 r. o pomocy społecznej (Dz. U. Nr 64, poz. 593, Nr 99, poz. 1001 i Nr 273, poz. 2703, z 2005 r. Nr 64, poz. 565, Nr 94, poz. 788, Nr 164, poz. 1366, Nr 179, poz. 1487 i Nr 180, poz. 1493, z 2006 r. Nr 144, poz. 1043, Nr 186, poz. 1380, Nr 249, poz. 1831 i Nr 251, poz. 1844 oraz z 2007 r. Nr 35, poz. 219, Nr 36, poz. 226, Nr 48, poz. 320, Nr 120, poz. 818 i Nr 209, poz. 1519) jest zgodny z art. 2 i art. 32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Ponadto postanawia: na podstawie art. 39 ust. 1 pkt 1 ustawy z dnia 1 sierpnia 1997 r. o Trybunale Konstytucyjnym (Dz. U. Nr 102, poz. 643, z 2000 r. Nr 48, poz. 552 i Nr 53, poz. 638, z 2001 r. Nr 98, poz. 1070 oraz z 2005 r. Nr 169, poz. 1417) umorzyć postępowanie w pozostałym zakresie ze względu na zbędność wydania wyroku.</w:t>
      </w:r>
    </w:p>
    <w:p>
      <w:pPr>
        <w:pStyle w:val="HeaderStyle"/>
      </w:pPr>
      <w:r>
        <w:t>UZASADNIENIE</w:t>
      </w:r>
    </w:p>
    <w:p>
      <w:pPr>
        <w:spacing w:before="149" w:after="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Skład orzekający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Trybunał Konstytucyjny w składzie: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Teresa Liszcz - przewodniczący,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Zbigniew Cieślak - sprawozdawca,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Marian Grzybowski,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Marek Kotlinowski,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Bohdan Zdziennicki,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protokolant: Krzysztof Zalecki.</w:t>
      </w:r>
    </w:p>
    <w:p>
      <w:pPr>
        <w:spacing w:before="149" w:after="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Sentencja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Po rozpoznaniu, z udziałem wnioskodawcy oraz Sejmu i Prokuratora Generalnego, na rozprawie w dniu 6 maja 2008 r., wniosku Krajowej Rady Izb Rolniczych o zbadanie zgodności: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1)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15 listopada 1984 r. o podatku rolnym (Dz. U. z 1993 r. Nr 94, poz. 431, ze zm.)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 Rzeczypospolitej Polskiej;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2)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28 listopada 2003 r. o świadczeniach rodzinnych (Dz. U. Nr 228, poz. 2255, ze zm.)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Konstytucji;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3)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12 marca 2004 r. o pomocy społecznej (Dz. U. Nr 64, poz. 593, ze zm.)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Konstytucji,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orzeka: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1.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15 listopada 1984 r. o podatku rolnym (Dz. U. z 2006 r. Nr 136, poz. 969, Nr 191, poz. 1412, Nr 245, poz. 1775 i Nr 249, poz. 1825 oraz z 2007 r. Nr 109, poz. 747) jest zgodny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 Rzeczypospolitej Polskiej.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2.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12 marca 2004 r. o pomocy społecznej (Dz. U. Nr 64, poz. 593, Nr 99, poz. 1001 i Nr 273, poz. 2703, z 2005 r. Nr 64, poz. 565, Nr 94, poz. 788, Nr 164, poz. 1366, Nr 179, poz. 1487 i Nr 180, poz. 1493, z 2006 r. Nr 144, poz. 1043, Nr 186, poz. 1380, Nr 249, poz. 1831 i Nr 251, poz. 1844 oraz z 2007 r. Nr 35, poz. 219, Nr 36, poz. 226, Nr 48, poz. 320, Nr 120, poz. 818 i Nr 209, poz. 1519) jest zgodny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Ponadto postanawia: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39 ust. 1 pkt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 sierpnia 1997 r. o Trybunale Konstytucyjnym (Dz. U. Nr 102, poz. 643, z 2000 r. Nr 48, poz. 552 i Nr 53, poz. 638, z 2001 r. Nr 98, poz. 1070 oraz z 2005 r. Nr 169, poz. 1417) umorzyć postępowanie w pozostałym zakresie ze względu na zbędność wydania wyroku.</w:t>
      </w:r>
    </w:p>
    <w:p>
      <w:pPr>
        <w:spacing w:before="149" w:after="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Uzasadnienie faktyczne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I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1. Krajowa Rada Izb Rolniczych 18 marca 2005 r. wystąpiła z wnioskiem o stwierdzenie niezgodności: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1)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15 listopada 1984 r. o podatku rolnym (Dz. U. z 1993 r. Nr 94, poz. 431, ze zm.; dalej: u.p.r.)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Konstytucji,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2)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12 marca 2004 r. o pomocy społecznej (Dz. U. Nr 64, poz. 593, ze zm.; dalej: u.p.s.)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Konstytucji,</w:t>
      </w:r>
    </w:p>
    <w:p>
      <w:pPr>
        <w:spacing w:before="73" w:after="220"/>
        <w:ind w:left="587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3)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ustawy z dnia 28 listopada 2003 r. o świadczeniach rodzinnych (Dz. U. Nr 228, poz. 2255, ze zm.; dalej: u.ś.r.)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W uzasadnieniu wnioskodawca stwierdził, że skarżone przepisy, ustalające wysokość przeciętnej kwoty dochodu z pracy w indywidualnych gospodarstwach rolnych z jednego hektara przeliczeniowego, naruszają zasadę zaufania obywateli do państwa i stanowionego przez nie prawa, poprzez wprowadzenie do tego wyliczenia trzech różnych kwot dochodu, co narusza zasadę przyzwoitej legislacji, w szczególności obowiązku stanowienia prawa spójnego, jasnego i zrozumiałego dla obywateli. Skarżone przepisy pozostają ponadto w sprzeczności z nakazem określoności przepisów prawa, jak również z teorią racjonalnego ustawodawcy, gdyż nie posługują się kategorią pojęciową w sposób jednoznaczny, konsekwentny i jednolity. Zdaniem wnioskodawcy, przepisy te wskazują na dowolność ustawodawcy w zakresie kształtowania treści obowiązujących norm prawnych i traktowanie ich jako instrumentu do osiągania dowolnie wyznaczonych celów. Skarżone przepisy uniemożliwiają adresatom tych norm kształtowanie ich stosunków życiowych w oparciu o obowiązujące prawo, co zdaniem wnioskodawcy, narusza zasadę pewności prawa i bezpieczeństwa prawnego. W ocenie wnioskodawcy, zaskarżone przepisy stanowią przejaw naruszenia przez ustawodawcę jego swobody w zakresie kształtowania treści obwiązującego prawa oraz instrumentalnego jego traktowania. Wnioskodawca kwestionuje arbitralne i swobodne, jego zdaniem, posługiwanie się przez ustawodawcę podstawami ustalenia prawa do pomocy dla osób osiągających niskie dochody. Prowadzi to do sytuacji, gdy rzeczywista sytuacja osoby potrzebującej nie koresponduje z ustawowo określoną kwotą jej dochodu.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Wnioskodawca podniósł ponadto, że skarżone przepisy naruszają zasadę równości wobec prawa, gdyż w różny sposób traktują podmioty znajdujące się w obrębie określonej kategorii, charakteryzującej się daną cechą istotną. Przyjęty za kryterium sposób uzyskiwania dochodu prowadzi do wyodrębnienia kategorii podmiotów, w stosunku do których przyznanie pomocy państwa jest uzależnione nie od wysokości, ale źródła dochodu. Zdaniem wnioskodawcy, wskazana metoda ustalania dochodu ma charakter nieproporcjonalny i nierelewantny, gdyż nie pozostaje w bezpośrednim związku z celem i zasadniczą treścią przepisów u.p.s., pozbawiając pomocy osoby faktycznie jej potrzebujące.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2. W piśmie z 8 grudnia 2005 r. stanowisko w sprawie zajął Prokurator Generalny. Stwierdził, że przepisy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u.p.r.,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oraz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u.ś.r. są zgodne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 oraz że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u.ś.r. są zgodne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Zdaniem Prokuratora Generalnego, ustawodawca był uprawniony - w ramach przysługującej mu swobody stanowienia prawa - do odrębnego określenia sposobu obliczenia dochodu osób utrzymujących się z pracy w gospodarstwie rolnym dla celów, o których mowa w poszczególnych ustawach. Wolą ustawodawcy było przyznanie prawa do świadczeń rodzinnych, a także pomocy społecznej tylko takim osobom, które spełniają określone w tych ustawach warunki. Tym samym przyjęcie w u.p.s. kwoty - stanowiącej dochód z 1 ha przeliczeniowego - a więc w inny sposób niż to czyni u.ś.r., nie narusza zasady zaufania obywateli do państwa i stanowionego przez nie prawa.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Odnosząc się do zarzutu naruszenia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Prokurator Generalny wskazał na brak wspólnej cechy relewantnej adresatów skarżonych przepisów. Regulują one różne kwestie, wobec czego należałoby raczej rozstrzygać w oparciu o zasadę równości w odniesieniu do osób, których dotyczy dana ustawa. Prokurator Generalny wskazuje, że skoro w ramach danego uregulowania ustawodawca nie dopuścił się dyskryminacji kogokolwiek, brak podstaw do uznania, że została naruszona zasada równości.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3. Pismem z 23 lutego 2006 r. w imieniu Sejmu Rzeczypospolitej Polskiej stanowisko zajął Marszałek Sejmu. Wniósł o uznanie, że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u.p.r. jest zgodny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jest niezgodny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oraz o umorzenie postępowania zgodnie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39 ust. 1 pkt 3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ust. 3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 sierpnia 1997 r. o Trybunale Konstytucyjnym (Dz. U. Nr 102, poz. 643, ze zm.; dalej: ustawa o TK) w zakresie dotyczącym badania zgodności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u.ś.r.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Marszałek Sejmu nie dostrzegł naruszenia zasady przyzwoitej legislacji, wskazując, że argumenty wniosku skupiają się raczej na celowości wprowadzonych przez ustawodawcę rozwiązań, nie uwzględniając autonomii regulacyjnej parlamentu, która znajduje oparcie w zasadzie podziału władz. Zdaniem Marszałka Sejmu, nie ma podstaw do ingerencji, gdy ustawodawca wybrał jeden z konstytucyjnie możliwych wariantów unormowania danej kwestii. Powołując się na orzecznictwo Trybunału Konstytucyjnego, Marszałek Sejmu przypomniał, że ustawodawca ma prawo do nadawania szczególnego znaczenia wykorzystywanym w tekście aktu prawnego pojęciom pod warunkiem, że mają one swoje naturalne znaczenie nadane przez zasady języka polskiego, a ponadto powinien precyzyjnie wyjaśnić, jakie znaczenie nadał pojęciu, którym się posługuje.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W dniu 29 grudnia 2005 r. uchwalona została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ustawa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o zmianie ustawy o świadczeniach rodzinnych (Dz. U. Nr 267, poz. 2260), ujednolicająca kwoty dochodu z 1 ha przeliczeniowego w gospodarstwie rolnym przyjęte dla potrzeb ustawy o podatku rolnym oraz ustawy o świadczeniach rodzinnych. Dlatego celowe stało się, zdaniem Marszałka Sejmu, umorzenie postępowania ze względu na utratę mocy obowiązującej przez zakwestionowany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o świadczeniach rodzinnych.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II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Na rozprawie stawili się przedstawiciele uczestników postępowania: pełnomocnicy wnioskodawcy, Sejmu i Prokuratora Generalnego. Podtrzymali oni stanowiska zajęte w pismach procesowych przesłanych do Trybunału. Przedstawiciel Prokuratora Generalnego zmodyfikował pisemne stanowisko w ten sposób, że wniósł o umorzenie postępowania w zakresie zbadania zgodności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o świadczeniach rodzinnych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ze względu na utratę mocy obowiązującej skarżonego przepisu.</w:t>
      </w:r>
    </w:p>
    <w:p>
      <w:pPr>
        <w:spacing w:before="149" w:after="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Uzasadnienie prawne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III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Trybunał Konstytucyjny zważył, co następuje: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1. Ze względu na zmiany legislacyjne, które miały miejsce od momentu złożenia wniosku, niezbędna jest identyfikacja zakresu przedmiotowego przepisów poddanych kontroli Trybunału Konstytucyjnego. Z chwilą wejścia w życie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 dnia 29 grudnia 2005 r. o zmianie ustawy o świadczeniach rodzinnych (Dz. U. Nr 267, poz. 2260) utracił moc obowiązującą objęty wnioskiem przepis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28 listopada 2003 r. o świadczeniach rodzinnych (Dz. U. Nr 228, poz. 2255, ze zm.; dalej: u.ś.r.) w jego dotychczasowym brzmieniu, co sprawia, że zachodzi przesłanka zbędności orzekania, o której stanowi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39 ust. 1 pkt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 sierpnia 1997 r. o Trybunale Konstytucyjnym (Dz. U. Nr 102, poz. 643, ze zm.; dalej: ustawa o TK). "Osiągnięty został bowiem podstawowy cel, będący także celem skarżących, polegający na wyeliminowaniu z porządku prawnego stanu niezgodności z Konstytucją" (postanowienie TK z 3 października 2001 r., sygn.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SK 3/01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, OTK ZU nr 7/2001, poz. 218, s. 1115). Z tego względu, postępowanie w tym zakresie podlega umorzeniu, z powodu zbędności wydania wyroku. Przedmiotem kontroli pozostaje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15 listopada 1984 r. o podatku rolnym (Dz. U. z 2006 r. Nr 136, poz. 969, ze zm.; dalej: u.p.r.) oraz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12 marca 2004 r. o pomocy społecznej (Dz. U. Nr 64, poz. 593, ze zm.; dalej: u.p.s.).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2. Odnosząc się do zarzutów sformułowanych w oparciu o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a w szczególności zasadę zaufania obywateli do państwa i stanowionego przez nie prawa oraz zasadę przyzwoitej legislacji, Trybunał Konstytucyjny przypomniał, że nie jest powołany do kontrolowania celowości i trafności rozwiązań przyjmowanych przez ustawodawcę. "Punktem wyjścia dla jego orzeczeń jest zawsze założenie racjonalnego działania ustawodawcy i domniemanie zgodności ustaw z Konstytucją. Jeżeli jednak Konstytucja nakłada na ustawodawcę obowiązek stanowienia prawa zgodnego z wymaganiami o tak generalnym charakterze, jak demokratyczne państwo prawne czy zaufanie obywatela do państwa, to nakazuje to Trybunałowi Konstytucyjnemu interweniować w tych wszystkich przypadkach, gdy ustawodawca przekroczy zakres swej swobody regulacyjnej w sposób na tyle drastyczny, że naruszenie wspomnianych klauzul konstytucyjnych stanie się ewidentne" (wyrok z 8 kwietnia 1998 r., sygn.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K. 10/97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>, OTK ZU nr 3/1998, poz. 29).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Sformułowane we wniosku zarzuty naruszenia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w tym przede wszystkim zasad prawidłowej legislacji i wynikającego z nich obowiązku tworzenia prawa spójnego, jasnego i zrozumiałego dla obywateli oraz zasady określoności przepisów prawa, odnoszą się w rzeczywistości do dyrektywy konsekwentności języka prawodawcy, o której mowa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§ 10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załącznika do rozporządzenia Prezesa Rady Ministrów z dnia 20 czerwca 2002 r. w sprawie "Zasad techniki prawodawczej" (Dz. U. Nr 100, poz. 908). W jej rozumieniu do oznaczenia jednakowych pojęć powinno się używać jednakowych określeń. Zasadę tą stosuje się w ramach poszczególnych aktów, w ramach określonych dziedzin lub, o ile jest to możliwe i celowe, w ramach całego systemu prawa (zob. Zasady techniki prawodawczej. Komentarz do rozporządzenia, red. J. Warylewski, Warszawa 2003, s. 89). Uznanie obowiązku prawodawcy do jednolitego ukształtowania przepisów u.p.s. i u.p.r., w zakresie dotyczącym sposobu wyliczania dochodu z działalności rolniczej, uzależnione jest od przyjęcia, że ustawy te tworzą pewien uzupełniający się zespół regulacji. Dochowanie konsekwencji terminologicznej i pojęciowej powinno bowiem dotyczyć poszczególnych aktów jedynie, jeśli stanowią one zamkniętą całość (por. S. Wronkowska, M. Zieliński, Komentarz do zasad techniki prawodawczej, Warszawa 2004, s. 48). Należy wskazać, że zgodnie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u.p.r., ustawa ta reguluje obowiązek podatkowy, któremu podlegają grunty sklasyfikowane w ewidencji gruntów i budynków jako użytki rolne lub jako grunty zadrzewione i zakrzewione na użytkach rolnych, z wyjątkiem gruntów zajętych na prowadzenie działalności gospodarczej innej niż działalność rolnicza. Natomiast celem u.p.s., jest zgodnie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tej ustawy, umożliwienie osobom i rodzinom przezwyciężanie trudnych sytuacji życiowych, których nie są one w stanie pokonać, wykorzystując własne uprawnienia, zasoby i możliwości. Ustawy te w żadnym razie nie mogą zostać uznane za zespół regulacji, gdyż służą one realizacji odmiennych zadań publicznych. Nie ma więc podstaw do twierdzenia, że ustawodawca powinien był w jednolity sposób określić kryteria dochodowe w u.p.r. oraz u.p.s. W związku z powyższym Trybunał Konstytucyjny nie dopatrzył się naruszenia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 przez skarżone przepisy.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3. Pomoc społeczna, zgodnie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u.p.s., jest instytucją polityki społecznej państwa, mającą na celu umożliwienie osobom i rodzinom przezwyciężanie trudnych sytuacji życiowych, których nie są one w stanie pokonać, wykorzystując własne uprawnienia, zasoby i możliwości. Pomoc ta ma na celu wsparcie osób i rodzin w wysiłkach zmierzających do zaspokojenia niezbędnych potrzeb i umożliwienie im życia w warunkach odpowiadających godności człowieka. Otrzymanie świadczenia pieniężnego od państwa uwarunkowane jest wystąpieniem jednej z przesłanek, o których mowa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7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Chodzi tu o: ubóstwo, sieroctwo, bezdomność, bezrobocie, niepełnosprawność, długotrwałą lub ciężką chorobę, przemoc w rodzinie, potrzebę ochrony macierzyństwa lub wielodzietności, bezradność w sprawach opiekuńczo-wychowawczych i prowadzenia gospodarstwa domowego, zwłaszcza w rodzinach niepełnych lub wielodzietnych, brak umiejętności w przystosowaniu do życia młodzieży opuszczającej placówki opiekuńczo-wychowawcze, trudność w integracji osób, które otrzymały status uchodźcy, trudność w przystosowaniu do życia po zwolnieniu z zakładu karnego, alkoholizm lub narkomanię, zdarzenia losowe i sytuacje kryzysowe oraz klęski żywiołowe lub ekologiczne. Prawo do świadczeń pieniężnych, o czym mowa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u.p.s., uzależnione jest ponadto od wysokości dochodu uzyskiwanego przez osobę lub rodzinę pozostającą w sytuacji życiowej uzasadniającej udzielenie pomocy społecznej.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Trybunał Konstytucyjny rozważył, czy postanowienia kwestionowanego przez wnioskodawcę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prowadzą do zróżnicowania podmiotów mających istotne cechy wspólne, ze względu na źródło uzyskiwania dochodu, w sposób naruszający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 W świetle utrwalonego orzecznictwa Trybunału, zasada równości polega na tym, że wszystkie podmioty prawa (adresaci norm prawnych), charakteryzujące się daną cechą istotną (relewantną) w równym stopniu, mają być traktowane równo, tzn. według jednakowej miary, bez zróżnicowań zarówno dyskryminujących, jak i faworyzujących (zob. wyrok TK z 19 grudnia 2007 r., sygn.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K 52/05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, OTK ZU nr 11/A/2007, poz. 159). Zasada ta jest więc realizowana, "gdy organy stosujące prawo podejmują rozstrzygnięcia na podstawie norm prawnych bez względu na jednostkowe cechy adresatów z punktu widzenia treści norm" (W. Jakimowicz, Wykładnia w prawie administracyjnym, Kraków 2006, s. 75). W wyroku z 3 października 2006 r. (sygn.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K 30/05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, OTK ZU nr 9/A/2006, poz. 119) Trybunał Konstytucyjny wskazał, że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 nakazuje równo traktować podmioty wykazujące takie same cechy istotne w wypadku przyznawania określonego dobra. Niezbędne jest przy tym wskazanie cechy wspólnej wszystkich uprawnionych. Jej ustalenie powinno być oparte o "cel i ogólną treść przepisów, w których zawarte są kontrolowane normy" (J. Oniszczuk, Równość - najpierwsza z zasad i orzecznictwo Trybunału Konstytucyjnego, Warszawa 2004, s. 42).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Trybunał Konstytucyjny wskazał, że w niniejszej sprawie należało przede wszystkim rozważyć, czy postanowienia kwestionowanych przepisów prowadzą lub mogą prowadzić do zróżnicowania podmiotów mających istotne (relewantne) cechy wspólne, w sytuacji wymagającej ich równego traktowania przez ustawodawcę. Cechą relewantną, decydującą o podobieństwie grupy podmiotów z u.p.s., jest pozostawanie w trudnej sytuacji życiowej, której dane osoby nie są w stanie pokonać, wykorzystując własne uprawnienia, zasoby i możliwości. W świetle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prawo do świadczeń pieniężnych z pomocy społecznej przysługuje osobom i rodzinom, których dochód na osobę w rodzinie nie przekracza kwot określonych w ustawie (z wyjątkiem osób, o których mowa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7 pkt 1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, które uzyskują pomoc państwa niezależnie od wysokości uzyskiwanego dochodu). Przy czym za dochód - zgodnie z przepisem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3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- uważa się sumę miesięcznych przychodów z miesiąca poprzedzającego złożenie wniosku lub w razie utraty dochodu z miesiąca, w którym wniosek został złożony, bez względu na tytuł i źródło ich uzyskania, jeżeli ustawa nie stanowi inaczej. Ustawodawca określił sposób liczenia tego dochodu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5-13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u.p.s., przyjmując przy tym, że dochody z pozarolniczej działalności gospodarczej i z hektarów przeliczeniowych oraz z innych źródeł się sumuje. Naruszenie zasady równości występuje jedynie wówczas, gdy norma prawna odmiennie traktuje adresatów, którzy odznaczają się tą samą cechą wspólną. W niniejszej sprawie, Trybunał Konstytucyjny stwierdził, że osoby pozostające w trudnej sytuacji życiowej, o której mowa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7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traktowane są przez ustawodawcę w taki sam sposób, a więc bez uprzywilejowania czy dyskryminacji, a tym samym nie dopatrzył się naruszenia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Odnosząc się do zarzutów wniosku, w zakresie dotyczącym zróżnicowania w u.ś.r. oraz u.p.s. sytuacji osób utrzymujących się z działalności rolniczej, prowadzącego w odczuciu wnioskodawcy do naruszenia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Konstytucji, Trybunał wskazał na nieaktualność tych argumentów, ze względu na wejście w życie ustawy z 29 grudnia 2005 r. o zmianie ustawy o świadczeniach rodzinnych, zmieniającej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u.ś.r. Poza zakresem rozważań w rozpoznawanej sprawie pozostaje natomiast kwestia zgodności kwestionowanych przepisów z zasadą prawidłowej legislacji, w ich brzmieniu w dniu wydania wyroku. Znowelizowany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5 ust. 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u.ś.r. przyjmuje, że z 1 hektara przeliczeniowego uzyskuje się dochód miesięczny w wysokości 1/12 dochodu ogłaszanego corocznie w drodze obwieszczenia przez Prezesa Głównego Urzędu Statystycznego na podstawie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u.p.r., wprowadzając odrębny od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sposób określania wysokości dochodu z 1 hektara przeliczeniowego.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Trybunał Konstytucyjny odniósł się również do zarzutów wnioskodawcy, jakoby przyznanie pomocy państwa było w rzeczywistości uzależnione nie od wysokości, ale źródła dochodu, co narusza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 Przyjęcie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u.p.s. 1 hektara przeliczeniowego w oparciu o apriorycznie określoną wysokość dla określania dochodu z działalności rolniczej nie prowadzi do zróżnicowania sytuacji grupy podmiotów podobnych. Grupą relewantną są bowiem w tym zakresie osoby utrzymujące się z działalności rolniczej, które w ramach u.p.s., traktowane są w sposób jednolity, i nie może być mowy o sytuacji uprzywilejowania któregoś z adresatów tych norm. Skarżony przepis mieści się więc w granicach swobody regulacyjnej ustawodawcy wyznaczanej treścią norm, zasad i wartości konstytucyjnych. Należy pamiętać, że "stanowienie prawa, a więc także wybór najwłaściwszych wariantów legislacyjnych, jest rolą parlamentu. Trybunał Konstytucyjny jest powołany jedynie do badania, czy parlament nie narusza przy tym norm, zasad i wartości ustanowionych w Konstytucji. Trybunał nie jest natomiast właściwy do oceny słuszności czy celowości działań ustawodawcy, bo pozostaje to w ramach politycznej swobody działań parlamentu, za które ponosi on odpowiedzialność przed elektoratem" (orzeczenie TK z 18 października 1994 r., sygn.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K. 2/94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>, OTK w 1994 r., cz. II, poz. 36, s. 51). Wybór sposobu określania dochodu z działalności rolniczej, należy wyłącznie do ustawodawcy, który ograniczony jest m.in. treścią zasad konstytucyjnych, w tym wskazaną przez wnioskodawcę zasadą równości.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 powyższych względów Trybunał Konstytucyjny orzekł jak w sentencji.</w:t>
      </w:r>
    </w:p>
    <w:p>
      <w:pPr>
        <w:spacing w:before="149" w:after="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0"/>
          <w:lang w:val="pl-PL"/>
        </w:rPr>
        <w:t>Zdanie odrębne</w:t>
      </w:r>
    </w:p>
    <w:p>
      <w:pPr>
        <w:spacing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Zdanie odrębne Sędziego Trybunału Konstytucyjnego Teresy Liszcz do wyroku Trybunału Konstytucyjnego z dnia 6 maja 2008 r., sygn. akt K 18/05.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68 ust. 3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 sierpnia 1997 r. o Trybunale Konstytucyjnym (Dz. U. Nr 102, poz. 643, ze zm.) zgłaszam zdanie odrębne do wyroku Trybunału Konstytucyjnego z dnia 6 maja 2008 r., w części, w jakiej uznaje on za zgodny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 przepis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z dnia 12 marca 2004 r. o pomocy społecznej (Dz. U. Nr 64, poz. 593, ze zm.).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UZASADNIENIE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Zarzuty wniosku dotyczą sposobu ustalania dochodu z gospodarstwa rolnego. Kwestię tę regulują obecnie przepisy dwóch ustaw: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 dnia 15 listopada 1984 r. o podatku rolnym (t.j. Dz. U. z 1993 r. Nr 94, poz. 431, ze zm.) oraz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 dnia 12 marca 2004 r. o pomocy społecznej (Dz. U. Nr 64, poz. 593, ze zm.). Z mocy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o podatku rolnym, wysokość przeciętnego dochodu z pracy w indywidualnym gospodarstwie rolnym z 1 ha przeliczeniowego dla celu obliczenia podatku rolnego ustala corocznie GUS na podstawie danych statystycznych i ogłasza ją Prezes GUS w Monitorze Polskim. W roku 2006 wynosiła ona 1898 zł rocznie, co w przeliczeniu na miesiąc daje kwotę 158,17 zł (zob.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obwieszczenie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Prezesa Głównego Urzędu Statystycznego z dnia 20 września 2007 r. w sprawie wysokości przeciętnego dochodu z pracy w indywidualnych gospodarstwach rolnych z 1 ha przeliczeniowego w 2006 r.; M. P. z 2007 r. Nr 66, poz. 738). Natomiast przepis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o pomocy społecznej, dla celów udzielania świadczeń z pomocy społecznej, przyjmuje apriorycznie, że z 1 ha przeliczeniowego uzyskuje się dochód miesięczny w wysokości 194 zł miesięcznie. Obecnie, na podstawie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§ 1 pkt 2 lit. e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rozporządzenia Rady Ministrów z dnia 24 lipca 2006 r. w sprawie zweryfikowanych kryteriów dochodowych oraz kwot świadczeń pieniężnych z pomocy społecznej (Dz. U. Nr 135, poz. 950), kwota ta wynosi 207 zł.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Wnioskodawca - moim zdaniem słusznie - zarzuca, że taka regulacja, przez wprowadzenie dwóch (a w momencie składania wniosku, przed zmianą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 dnia 28 listopada 2003 r. o świadczeniach rodzinnych, Dz. U. Nr 228, poz. 2255, ze zm.,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ustawą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z dnia 29 grudnia 2005 r. o zmianie ustawy o świadczeniach rodzinnych, Dz. U. Nr 267, poz. 2260, trzech) sposobów ustalania dochodowości gospodarstwa rolnego, narusza zasadę zaufania obywatela do państwa i stanowionego przez nie prawa, w szczególności zasadę przyzwoitej legislacji, wyprowadzoną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 tych dwóch zaskarżonych przepisów wcześniejszy, zawarty w ustawie o podatku rolnym, odsyła przy ustalaniu dochodu do względnie obiektywnych kryteriów, jakimi są dane statystyczne. Natomiast drugi, występujący w ustawie o pomocy społecznej, ustala kwotę dochodu całkowicie arbitralnie. Z materiałów sprawy nie wynika wprost, co było podstawą przyjęcia takiej właśnie wysokości dochodu z hektara przeliczeniowego. Jedynie zawarte w nich stanowisko rządu wobec poselskiego projektu ustawy o zmianie ustawy o pomocy społecznej oraz o zmianie ustawy o świadczeniach rodzinnych (druk nr 376) z 21 kwietnia 2006 r., pozwala wnioskować, że jest ona wynikiem kalkulacji finansowej kosztów pomocy społecznej dla rolników i ich rodzin przy określonym progu dochodowości, jako warunku brzegowym udzielania świadczeń pomocowych. Wskazuje na to fakt, że jedynym uzasadnieniem negatywnego stanowiska rządu wobec poselskiego projektu zmiany ustawy o pomocy społecznej przez przyjęcie w niej takiej samej wysokości dochodu z hektara przeliczeniowego, jaka jest przyjęta w ustawie o podatku rolnym, są przedstawione skutki finansowe tej zmiany dla budżetu państwa.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Nie zgadzam się ze stanowiskiem większości składu orzekającego Trybunału Konstytucyjnego, że ustawodawca, w ramach pozostawionej przez ustrojodawcę autonomii decyzyjnej, ma prawo ustalić inne kwoty dochodów z tego samego źródła, w różnych ustawach, realizujących różne cele. W tym przypadku nie chodzi bowiem o sprawy natury techniczno-legislacyjnej, np. o określenie zakresu obowiązywania ustawy, kiedy to można tworzyć definicje ustawowe określonych pojęć na użytek konkretnej ustawy, różne w różnych aktach prawnych. W niniejszej sprawie chodzi o realny (chociaż przeciętny) dochód z tego samego gospodarstwa rolnego za ten sam okres, ustalany w relacji do tzw. hektara przeliczeniowego. Wielkość tego dochodu w określonym przedziale czasowym, w szczególności w ciągu roku, jest tylko jedna. Ten dochód jest źródłem utrzymania rolnika lub rodziny "rolniczej"; on jest podstawą obliczenia rolniczego podatku rolnego i powinien być - moim zdaniem - miarodajny również dla ustalania przesłanek nabycia i wysokości świadczeń socjalnych (z pomocy społecznej, świadczeń rodzinnych, świadczeń z tytułu bezrobocia) oraz brany pod uwagę we wszelkich sprawach, dla rozstrzygnięcia których ma znaczenie wielkość uzyskiwanych dochodów, na przykład przy ubieganiu się o kredyt lub pożyczkę z banku.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Ustalenie rzeczywistego dochodu (przychodu) z konkretnego gospodarstwa rolnego jest obecnie w polskich warunkach, w stosunku do przeważającej liczby gospodarstw rolnych, praktycznie niemożliwe. Racjonalny i uzasadniony jest zatem sposób ustalania przeciętnego (szacunkowego) dochodu z hektara przeliczeniowego na podstawie danych statystycznych, przyjęty w ustawie o podatku rolnym. Toteż zaskarżony przepis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18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tej ustawy uważam za zgodny ze wskazanymi wzorcami konstytucyjnymi.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Za niezgodny z Konstytucją - zarówno z jej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jak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w związku z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 xml:space="preserve">art. 2 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- uważam natomiast zaskarżony przepis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8 ust. 9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ustawy o pomocy społecznej. Ustawodawca zwykły, przyjmując w tym przepisie arbitralną wysokość dochodu z hektara przeliczeniowego, zawyżoną w stosunku do względnie zobiektywizowanej wysokości tego dochodu przyjmowanej dla celów obliczenia podatku rolnego, w istocie ustanowił niższy próg dochodu, uprawniającego do ubiegania się o świadczenia społeczne dla osób i rodzin utrzymujących się z gospodarstwa rolnego, niż obowiązujący wobec osób utrzymujących się z dochodu pochodzącego z innych źródeł. Uważam, że zastosowanie takiego "wybiegu legislacyjnego", zamiast określenia wprost niższego progu dochodowego przy ubieganiu się o świadczenia z pomocy społecznej przez rolników, narusza zasadę zaufania obywatela do państwa i stanowionego przez państwo prawa.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Jednocześnie, pod względem merytorycznym, przepis ten, ograniczający przez ustanowienie niższego progu dochodowego dostęp do świadczeń z pomocy społecznej osobom utrzymującym się z dochodu z pracy w gospodarstwie rolnym, jest niezgodny z zasadą równości i sprawiedliwości wyrażoną w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32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0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0"/>
          <w:lang w:val="pl-PL"/>
        </w:rPr>
        <w:t xml:space="preserve"> Konstytucji. Zastosowanie w ustawie o pomocy społecznej kryterium źródła dochodu, jako podstawy różnicowania sytuacji osób o niskich dochodach, ubiegających się w związku z nią o pomoc społeczną, jest nierelewantne. Nie można też akceptować sytuacji, w której - na gruncie obowiązujących przepisów - ten sam rolnik jest jednocześnie "zbyt biedny, aby otrzymać kredyt z banku i zbyt bogaty, aby uzyskać świadczenie z pomocy społecznej". Wzgląd na ograniczone środki publiczne, które mogą być przeznaczone na pomoc społeczną, nie może usprawiedliwiać takiego zróżnicowania w zakresie przyznawania tej pomocy rolnikom i nie-rolnikom. Równowaga budżetowa, stanowiąca niewątpliwie samoistną wartość, nie może być utrzymywana kosztem jednej grupy społeczno-zawodowej, jaką są rolnicy.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0"/>
          <w:lang w:val="pl-PL"/>
        </w:rPr>
        <w:t>Z tych względów uznałam za konieczne złożenie zdania odrębnego od tego wyroku.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0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0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0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0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0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0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0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0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