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FE0" w14:textId="77777777" w:rsidR="00B53B6A" w:rsidRPr="00104C02" w:rsidRDefault="00B53B6A" w:rsidP="00B53B6A">
      <w:pPr>
        <w:spacing w:after="0" w:line="240" w:lineRule="auto"/>
        <w:jc w:val="both"/>
        <w:rPr>
          <w:rFonts w:ascii="Calibri" w:eastAsia="Times New Roman" w:hAnsi="Calibri" w:cs="Calibri"/>
          <w:b/>
          <w:bCs/>
          <w:sz w:val="24"/>
          <w:szCs w:val="24"/>
          <w:lang w:eastAsia="pl-PL"/>
        </w:rPr>
      </w:pPr>
      <w:r w:rsidRPr="00104C02">
        <w:rPr>
          <w:rFonts w:ascii="Calibri" w:eastAsia="Times New Roman" w:hAnsi="Calibri" w:cs="Calibri"/>
          <w:b/>
          <w:bCs/>
          <w:sz w:val="24"/>
          <w:szCs w:val="24"/>
          <w:lang w:eastAsia="pl-PL"/>
        </w:rPr>
        <w:t>Wybrane orzecznictwo:</w:t>
      </w:r>
    </w:p>
    <w:p w14:paraId="2B7667F5" w14:textId="77777777" w:rsidR="00B53B6A" w:rsidRPr="006A4F34" w:rsidRDefault="00B53B6A" w:rsidP="00B53B6A">
      <w:pPr>
        <w:pStyle w:val="Akapitzlist"/>
        <w:widowControl w:val="0"/>
        <w:spacing w:after="0" w:line="240" w:lineRule="auto"/>
        <w:jc w:val="both"/>
        <w:rPr>
          <w:rFonts w:ascii="Calibri" w:eastAsia="Times New Roman" w:hAnsi="Calibri" w:cs="Arial"/>
          <w:b/>
          <w:color w:val="000000"/>
          <w:sz w:val="24"/>
          <w:szCs w:val="24"/>
          <w:lang w:eastAsia="pl-PL"/>
        </w:rPr>
      </w:pPr>
    </w:p>
    <w:p w14:paraId="787EE4D6" w14:textId="77777777" w:rsidR="00B53B6A" w:rsidRPr="00243D97" w:rsidRDefault="00B53B6A" w:rsidP="00B53B6A">
      <w:pPr>
        <w:pStyle w:val="Akapitzlist"/>
        <w:widowControl w:val="0"/>
        <w:numPr>
          <w:ilvl w:val="0"/>
          <w:numId w:val="1"/>
        </w:numPr>
        <w:spacing w:after="0" w:line="240" w:lineRule="auto"/>
        <w:jc w:val="both"/>
        <w:rPr>
          <w:rFonts w:ascii="Calibri" w:eastAsia="Times New Roman" w:hAnsi="Calibri" w:cs="Arial"/>
          <w:b/>
          <w:color w:val="000000"/>
          <w:sz w:val="24"/>
          <w:szCs w:val="24"/>
          <w:lang w:eastAsia="pl-PL"/>
        </w:rPr>
      </w:pPr>
      <w:r>
        <w:rPr>
          <w:rFonts w:ascii="Calibri" w:eastAsia="Times New Roman" w:hAnsi="Calibri" w:cs="Calibri"/>
          <w:b/>
          <w:sz w:val="24"/>
          <w:szCs w:val="24"/>
          <w:lang w:eastAsia="pl-PL"/>
        </w:rPr>
        <w:t>Wyrok</w:t>
      </w:r>
      <w:r w:rsidRPr="00243D97">
        <w:rPr>
          <w:rFonts w:ascii="Calibri" w:eastAsia="Times New Roman" w:hAnsi="Calibri" w:cs="Calibri"/>
          <w:b/>
          <w:sz w:val="24"/>
          <w:szCs w:val="24"/>
          <w:lang w:eastAsia="pl-PL"/>
        </w:rPr>
        <w:t xml:space="preserve"> SN </w:t>
      </w:r>
      <w:r w:rsidRPr="00243D97">
        <w:rPr>
          <w:rFonts w:ascii="Calibri" w:eastAsia="Times New Roman" w:hAnsi="Calibri" w:cs="Arial"/>
          <w:b/>
          <w:color w:val="000000"/>
          <w:sz w:val="24"/>
          <w:szCs w:val="24"/>
          <w:lang w:eastAsia="pl-PL"/>
        </w:rPr>
        <w:t xml:space="preserve">z dnia </w:t>
      </w:r>
      <w:r>
        <w:rPr>
          <w:rFonts w:ascii="Calibri" w:eastAsia="Times New Roman" w:hAnsi="Calibri" w:cs="Arial"/>
          <w:b/>
          <w:color w:val="000000"/>
          <w:sz w:val="24"/>
          <w:szCs w:val="24"/>
          <w:lang w:eastAsia="pl-PL"/>
        </w:rPr>
        <w:t>11</w:t>
      </w:r>
      <w:r w:rsidRPr="00243D97">
        <w:rPr>
          <w:rFonts w:ascii="Calibri" w:eastAsia="Times New Roman" w:hAnsi="Calibri" w:cs="Arial"/>
          <w:b/>
          <w:color w:val="000000"/>
          <w:sz w:val="24"/>
          <w:szCs w:val="24"/>
          <w:lang w:eastAsia="pl-PL"/>
        </w:rPr>
        <w:t xml:space="preserve"> </w:t>
      </w:r>
      <w:r>
        <w:rPr>
          <w:rFonts w:ascii="Calibri" w:eastAsia="Times New Roman" w:hAnsi="Calibri" w:cs="Arial"/>
          <w:b/>
          <w:color w:val="000000"/>
          <w:sz w:val="24"/>
          <w:szCs w:val="24"/>
          <w:lang w:eastAsia="pl-PL"/>
        </w:rPr>
        <w:t>października 2016</w:t>
      </w:r>
      <w:r w:rsidRPr="00243D97">
        <w:rPr>
          <w:rFonts w:ascii="Calibri" w:eastAsia="Times New Roman" w:hAnsi="Calibri" w:cs="Arial"/>
          <w:b/>
          <w:color w:val="000000"/>
          <w:sz w:val="24"/>
          <w:szCs w:val="24"/>
          <w:lang w:eastAsia="pl-PL"/>
        </w:rPr>
        <w:t xml:space="preserve"> r., I </w:t>
      </w:r>
      <w:r>
        <w:rPr>
          <w:rFonts w:ascii="Calibri" w:eastAsia="Times New Roman" w:hAnsi="Calibri" w:cs="Arial"/>
          <w:b/>
          <w:color w:val="000000"/>
          <w:sz w:val="24"/>
          <w:szCs w:val="24"/>
          <w:lang w:eastAsia="pl-PL"/>
        </w:rPr>
        <w:t>UK</w:t>
      </w:r>
      <w:r w:rsidRPr="00243D97">
        <w:rPr>
          <w:rFonts w:ascii="Calibri" w:eastAsia="Times New Roman" w:hAnsi="Calibri" w:cs="Arial"/>
          <w:b/>
          <w:color w:val="000000"/>
          <w:sz w:val="24"/>
          <w:szCs w:val="24"/>
          <w:lang w:eastAsia="pl-PL"/>
        </w:rPr>
        <w:t xml:space="preserve"> </w:t>
      </w:r>
      <w:r>
        <w:rPr>
          <w:rFonts w:ascii="Calibri" w:eastAsia="Times New Roman" w:hAnsi="Calibri" w:cs="Arial"/>
          <w:b/>
          <w:color w:val="000000"/>
          <w:sz w:val="24"/>
          <w:szCs w:val="24"/>
          <w:lang w:eastAsia="pl-PL"/>
        </w:rPr>
        <w:t>354</w:t>
      </w:r>
      <w:r w:rsidRPr="00243D97">
        <w:rPr>
          <w:rFonts w:ascii="Calibri" w:eastAsia="Times New Roman" w:hAnsi="Calibri" w:cs="Arial"/>
          <w:b/>
          <w:color w:val="000000"/>
          <w:sz w:val="24"/>
          <w:szCs w:val="24"/>
          <w:lang w:eastAsia="pl-PL"/>
        </w:rPr>
        <w:t>/</w:t>
      </w:r>
      <w:r>
        <w:rPr>
          <w:rFonts w:ascii="Calibri" w:eastAsia="Times New Roman" w:hAnsi="Calibri" w:cs="Arial"/>
          <w:b/>
          <w:color w:val="000000"/>
          <w:sz w:val="24"/>
          <w:szCs w:val="24"/>
          <w:lang w:eastAsia="pl-PL"/>
        </w:rPr>
        <w:t>125</w:t>
      </w:r>
    </w:p>
    <w:p w14:paraId="371DE6D8" w14:textId="77777777" w:rsidR="00B53B6A" w:rsidRDefault="00B53B6A" w:rsidP="00B53B6A">
      <w:pPr>
        <w:pStyle w:val="Akapitzlist"/>
        <w:widowControl w:val="0"/>
        <w:spacing w:after="0" w:line="240" w:lineRule="auto"/>
        <w:jc w:val="both"/>
        <w:rPr>
          <w:rFonts w:ascii="Calibri" w:eastAsia="Times New Roman" w:hAnsi="Calibri" w:cs="Arial"/>
          <w:bCs/>
          <w:color w:val="000000"/>
          <w:sz w:val="24"/>
          <w:szCs w:val="24"/>
          <w:lang w:eastAsia="pl-PL"/>
        </w:rPr>
      </w:pPr>
    </w:p>
    <w:p w14:paraId="112DC51D" w14:textId="77777777" w:rsidR="00B53B6A" w:rsidRPr="00104C02" w:rsidRDefault="00B53B6A" w:rsidP="00B53B6A">
      <w:pPr>
        <w:widowControl w:val="0"/>
        <w:spacing w:after="0" w:line="360" w:lineRule="auto"/>
        <w:jc w:val="both"/>
        <w:rPr>
          <w:rFonts w:ascii="Calibri" w:eastAsia="Times New Roman" w:hAnsi="Calibri" w:cs="Calibri"/>
          <w:sz w:val="24"/>
          <w:szCs w:val="24"/>
          <w:lang w:eastAsia="pl-PL"/>
        </w:rPr>
      </w:pPr>
      <w:r w:rsidRPr="00CA2AD7">
        <w:rPr>
          <w:rFonts w:ascii="Calibri" w:eastAsia="Times New Roman" w:hAnsi="Calibri" w:cs="Arial"/>
          <w:bCs/>
          <w:color w:val="000000"/>
          <w:sz w:val="24"/>
          <w:szCs w:val="24"/>
          <w:lang w:eastAsia="pl-PL"/>
        </w:rPr>
        <w:t xml:space="preserve">Zgodnie z art. 65 ust. 1 </w:t>
      </w:r>
      <w:proofErr w:type="spellStart"/>
      <w:r w:rsidRPr="00CA2AD7">
        <w:rPr>
          <w:rFonts w:ascii="Calibri" w:eastAsia="Times New Roman" w:hAnsi="Calibri" w:cs="Arial"/>
          <w:bCs/>
          <w:color w:val="000000"/>
          <w:sz w:val="24"/>
          <w:szCs w:val="24"/>
          <w:lang w:eastAsia="pl-PL"/>
        </w:rPr>
        <w:t>u.e.r.f.u.s</w:t>
      </w:r>
      <w:proofErr w:type="spellEnd"/>
      <w:r w:rsidRPr="00CA2AD7">
        <w:rPr>
          <w:rFonts w:ascii="Calibri" w:eastAsia="Times New Roman" w:hAnsi="Calibri" w:cs="Arial"/>
          <w:bCs/>
          <w:color w:val="000000"/>
          <w:sz w:val="24"/>
          <w:szCs w:val="24"/>
          <w:lang w:eastAsia="pl-PL"/>
        </w:rPr>
        <w:t xml:space="preserve">., renta rodzinna przysługuje uprawnionym członkom rodziny osoby, która w chwili śmierci miała ustalone prawo do emerytury (renty z tytułu niezdolności do pracy) lub spełniała warunki wymagane do uzyskania jednego z tych świadczeń. Nie można zgodzić się ze stanowiskiem, że nie są to warunki alternatywne. Spójnik "lub" to bowiem tzw. funktor alternatywy nierozłącznej, co oznacza, że prawo do renty rodzinnej przysługuje zarówno wtedy, gdy spełniony jest tylko pierwszy warunek (posiadanie w chwili śmierci ustalonego prawa do emerytury lub renty z tytułu niezdolności do pracy), jak i wtedy, gdy spełniony jest tylko drugi warunek (spełnienie warunków do uzyskania jednego z tych świadczeń), jak również, gdy spełnione są oba te warunki jednocześnie. Już tylko na tej podstawie można by stwierdzić, że z wykładni gramatycznej tego przepisu nie wynika, ażeby warunek posiadania ustalonego prawa do emerytury (renty z tytułu niezdolności do pracy) mógł być utożsamiony z warunkiem spełnienia przesłanek do tego świadczenia. Gdyby tak bowiem miało być, to za zbędne należałoby uznać wyróżnianie dwóch alternatywnych warunków. Wystarczyłoby wskazanie, że chodzi o osobę, która w chwili śmierci miała prawo do jednego z tych świadczeń, bo w tym kręgu mieściłyby się wszystkie osoby spełniające do nich warunki, zarówno potwierdzone, jak i niepotwierdzone decyzją organu rentowego (por. art. 100 ust. 1 </w:t>
      </w:r>
      <w:proofErr w:type="spellStart"/>
      <w:r w:rsidRPr="00CA2AD7">
        <w:rPr>
          <w:rFonts w:ascii="Calibri" w:eastAsia="Times New Roman" w:hAnsi="Calibri" w:cs="Arial"/>
          <w:bCs/>
          <w:color w:val="000000"/>
          <w:sz w:val="24"/>
          <w:szCs w:val="24"/>
          <w:lang w:eastAsia="pl-PL"/>
        </w:rPr>
        <w:t>u.e.r.f.u.s</w:t>
      </w:r>
      <w:proofErr w:type="spellEnd"/>
      <w:r w:rsidRPr="00CA2AD7">
        <w:rPr>
          <w:rFonts w:ascii="Calibri" w:eastAsia="Times New Roman" w:hAnsi="Calibri" w:cs="Arial"/>
          <w:bCs/>
          <w:color w:val="000000"/>
          <w:sz w:val="24"/>
          <w:szCs w:val="24"/>
          <w:lang w:eastAsia="pl-PL"/>
        </w:rPr>
        <w:t>.).</w:t>
      </w:r>
    </w:p>
    <w:p w14:paraId="23EF9871" w14:textId="77777777" w:rsidR="00B53B6A" w:rsidRPr="00104C02" w:rsidRDefault="00B53B6A" w:rsidP="00B53B6A">
      <w:pPr>
        <w:widowControl w:val="0"/>
        <w:spacing w:after="0" w:line="240" w:lineRule="auto"/>
        <w:jc w:val="both"/>
        <w:rPr>
          <w:rFonts w:ascii="Calibri" w:eastAsia="Times New Roman" w:hAnsi="Calibri" w:cs="Arial"/>
          <w:bCs/>
          <w:color w:val="000000"/>
          <w:sz w:val="24"/>
          <w:szCs w:val="24"/>
          <w:lang w:eastAsia="pl-PL"/>
        </w:rPr>
      </w:pPr>
      <w:r w:rsidRPr="00104C02">
        <w:rPr>
          <w:rFonts w:ascii="Calibri" w:eastAsia="Times New Roman" w:hAnsi="Calibri" w:cs="Arial"/>
          <w:b/>
          <w:bCs/>
          <w:color w:val="000000"/>
          <w:sz w:val="24"/>
          <w:szCs w:val="24"/>
          <w:lang w:eastAsia="pl-PL"/>
        </w:rPr>
        <w:t xml:space="preserve">2. Wyrok SN z dnia </w:t>
      </w:r>
      <w:r>
        <w:rPr>
          <w:rFonts w:ascii="Calibri" w:eastAsia="Times New Roman" w:hAnsi="Calibri" w:cs="Arial"/>
          <w:b/>
          <w:bCs/>
          <w:color w:val="000000"/>
          <w:sz w:val="24"/>
          <w:szCs w:val="24"/>
          <w:lang w:eastAsia="pl-PL"/>
        </w:rPr>
        <w:t>26</w:t>
      </w:r>
      <w:r w:rsidRPr="00104C02">
        <w:rPr>
          <w:rFonts w:ascii="Calibri" w:eastAsia="Times New Roman" w:hAnsi="Calibri" w:cs="Arial"/>
          <w:b/>
          <w:bCs/>
          <w:color w:val="000000"/>
          <w:sz w:val="24"/>
          <w:szCs w:val="24"/>
          <w:lang w:eastAsia="pl-PL"/>
        </w:rPr>
        <w:t xml:space="preserve"> </w:t>
      </w:r>
      <w:r>
        <w:rPr>
          <w:rFonts w:ascii="Calibri" w:eastAsia="Times New Roman" w:hAnsi="Calibri" w:cs="Arial"/>
          <w:b/>
          <w:bCs/>
          <w:color w:val="000000"/>
          <w:sz w:val="24"/>
          <w:szCs w:val="24"/>
          <w:lang w:eastAsia="pl-PL"/>
        </w:rPr>
        <w:t>stycznia</w:t>
      </w:r>
      <w:r w:rsidRPr="00104C02">
        <w:rPr>
          <w:rFonts w:ascii="Calibri" w:eastAsia="Times New Roman" w:hAnsi="Calibri" w:cs="Arial"/>
          <w:b/>
          <w:bCs/>
          <w:color w:val="000000"/>
          <w:sz w:val="24"/>
          <w:szCs w:val="24"/>
          <w:lang w:eastAsia="pl-PL"/>
        </w:rPr>
        <w:t xml:space="preserve"> 20</w:t>
      </w:r>
      <w:r>
        <w:rPr>
          <w:rFonts w:ascii="Calibri" w:eastAsia="Times New Roman" w:hAnsi="Calibri" w:cs="Arial"/>
          <w:b/>
          <w:bCs/>
          <w:color w:val="000000"/>
          <w:sz w:val="24"/>
          <w:szCs w:val="24"/>
          <w:lang w:eastAsia="pl-PL"/>
        </w:rPr>
        <w:t>17</w:t>
      </w:r>
      <w:r w:rsidRPr="00104C02">
        <w:rPr>
          <w:rFonts w:ascii="Calibri" w:eastAsia="Times New Roman" w:hAnsi="Calibri" w:cs="Arial"/>
          <w:b/>
          <w:bCs/>
          <w:color w:val="000000"/>
          <w:sz w:val="24"/>
          <w:szCs w:val="24"/>
          <w:lang w:eastAsia="pl-PL"/>
        </w:rPr>
        <w:t xml:space="preserve"> r., I</w:t>
      </w:r>
      <w:r>
        <w:rPr>
          <w:rFonts w:ascii="Calibri" w:eastAsia="Times New Roman" w:hAnsi="Calibri" w:cs="Arial"/>
          <w:b/>
          <w:bCs/>
          <w:color w:val="000000"/>
          <w:sz w:val="24"/>
          <w:szCs w:val="24"/>
          <w:lang w:eastAsia="pl-PL"/>
        </w:rPr>
        <w:t>I UK</w:t>
      </w:r>
      <w:r w:rsidRPr="00104C02">
        <w:rPr>
          <w:rFonts w:ascii="Calibri" w:eastAsia="Times New Roman" w:hAnsi="Calibri" w:cs="Arial"/>
          <w:b/>
          <w:bCs/>
          <w:color w:val="000000"/>
          <w:sz w:val="24"/>
          <w:szCs w:val="24"/>
          <w:lang w:eastAsia="pl-PL"/>
        </w:rPr>
        <w:t xml:space="preserve"> </w:t>
      </w:r>
      <w:r>
        <w:rPr>
          <w:rFonts w:ascii="Calibri" w:eastAsia="Times New Roman" w:hAnsi="Calibri" w:cs="Arial"/>
          <w:b/>
          <w:bCs/>
          <w:color w:val="000000"/>
          <w:sz w:val="24"/>
          <w:szCs w:val="24"/>
          <w:lang w:eastAsia="pl-PL"/>
        </w:rPr>
        <w:t>641</w:t>
      </w:r>
      <w:r w:rsidRPr="00104C02">
        <w:rPr>
          <w:rFonts w:ascii="Calibri" w:eastAsia="Times New Roman" w:hAnsi="Calibri" w:cs="Arial"/>
          <w:b/>
          <w:bCs/>
          <w:color w:val="000000"/>
          <w:sz w:val="24"/>
          <w:szCs w:val="24"/>
          <w:lang w:eastAsia="pl-PL"/>
        </w:rPr>
        <w:t>/</w:t>
      </w:r>
      <w:r>
        <w:rPr>
          <w:rFonts w:ascii="Calibri" w:eastAsia="Times New Roman" w:hAnsi="Calibri" w:cs="Arial"/>
          <w:b/>
          <w:bCs/>
          <w:color w:val="000000"/>
          <w:sz w:val="24"/>
          <w:szCs w:val="24"/>
          <w:lang w:eastAsia="pl-PL"/>
        </w:rPr>
        <w:t>15</w:t>
      </w:r>
    </w:p>
    <w:p w14:paraId="39B7F5A7" w14:textId="77777777" w:rsidR="00B53B6A" w:rsidRDefault="00B53B6A" w:rsidP="00B53B6A">
      <w:pPr>
        <w:widowControl w:val="0"/>
        <w:spacing w:after="0" w:line="240" w:lineRule="auto"/>
        <w:jc w:val="both"/>
        <w:rPr>
          <w:rFonts w:ascii="Calibri" w:eastAsia="Times New Roman" w:hAnsi="Calibri" w:cs="Arial"/>
          <w:bCs/>
          <w:color w:val="000000"/>
          <w:sz w:val="24"/>
          <w:szCs w:val="24"/>
          <w:lang w:eastAsia="pl-PL"/>
        </w:rPr>
      </w:pPr>
    </w:p>
    <w:p w14:paraId="6157CFE6" w14:textId="77777777" w:rsidR="00B53B6A" w:rsidRDefault="00B53B6A" w:rsidP="00B53B6A">
      <w:pPr>
        <w:widowControl w:val="0"/>
        <w:spacing w:after="0" w:line="360" w:lineRule="auto"/>
        <w:jc w:val="both"/>
        <w:rPr>
          <w:rFonts w:ascii="Calibri" w:eastAsia="Times New Roman" w:hAnsi="Calibri" w:cs="Arial"/>
          <w:bCs/>
          <w:color w:val="000000"/>
          <w:sz w:val="24"/>
          <w:szCs w:val="24"/>
          <w:lang w:eastAsia="pl-PL"/>
        </w:rPr>
      </w:pPr>
      <w:r w:rsidRPr="00CA2AD7">
        <w:rPr>
          <w:rFonts w:ascii="Calibri" w:eastAsia="Times New Roman" w:hAnsi="Calibri" w:cs="Arial"/>
          <w:bCs/>
          <w:color w:val="000000"/>
          <w:sz w:val="24"/>
          <w:szCs w:val="24"/>
          <w:lang w:eastAsia="pl-PL"/>
        </w:rPr>
        <w:t>Jeżeli zmarły w chwili śmierci nie miał ustalonego prawa do emerytury lub renty z tytułu niezdolności do pracy decyzją organu rentowego o przyznaniu jednego z tych świadczeń, to badaniu podlega, czy spełniał on warunki wymagane do uzyskania jednego z nich.</w:t>
      </w:r>
    </w:p>
    <w:p w14:paraId="00CF884B" w14:textId="77777777" w:rsidR="00B53B6A" w:rsidRPr="00104C02" w:rsidRDefault="00B53B6A" w:rsidP="00B53B6A">
      <w:pPr>
        <w:widowControl w:val="0"/>
        <w:spacing w:after="0" w:line="240" w:lineRule="auto"/>
        <w:jc w:val="both"/>
        <w:rPr>
          <w:rFonts w:ascii="Calibri" w:eastAsia="Times New Roman" w:hAnsi="Calibri" w:cs="Arial"/>
          <w:bCs/>
          <w:color w:val="000000"/>
          <w:sz w:val="24"/>
          <w:szCs w:val="24"/>
          <w:lang w:eastAsia="pl-PL"/>
        </w:rPr>
      </w:pPr>
    </w:p>
    <w:p w14:paraId="34AC61A4" w14:textId="77777777" w:rsidR="00B53B6A" w:rsidRDefault="00B53B6A" w:rsidP="00B53B6A">
      <w:pPr>
        <w:widowControl w:val="0"/>
        <w:spacing w:after="0" w:line="240" w:lineRule="auto"/>
        <w:jc w:val="both"/>
        <w:rPr>
          <w:rFonts w:ascii="Calibri" w:eastAsia="Times New Roman" w:hAnsi="Calibri" w:cs="Arial"/>
          <w:b/>
          <w:sz w:val="24"/>
          <w:szCs w:val="24"/>
          <w:lang w:eastAsia="pl-PL"/>
        </w:rPr>
      </w:pPr>
    </w:p>
    <w:p w14:paraId="542A937D" w14:textId="77777777" w:rsidR="00B53B6A" w:rsidRDefault="00B53B6A" w:rsidP="00B53B6A">
      <w:pPr>
        <w:widowControl w:val="0"/>
        <w:spacing w:after="0" w:line="240" w:lineRule="auto"/>
        <w:jc w:val="both"/>
        <w:rPr>
          <w:rFonts w:ascii="Calibri" w:eastAsia="Times New Roman" w:hAnsi="Calibri" w:cs="Arial"/>
          <w:b/>
          <w:sz w:val="24"/>
          <w:szCs w:val="24"/>
          <w:lang w:eastAsia="pl-PL"/>
        </w:rPr>
      </w:pPr>
    </w:p>
    <w:p w14:paraId="00690F9F" w14:textId="77777777" w:rsidR="00B53B6A" w:rsidRDefault="00B53B6A" w:rsidP="00B53B6A">
      <w:pPr>
        <w:widowControl w:val="0"/>
        <w:spacing w:after="0" w:line="240" w:lineRule="auto"/>
        <w:jc w:val="both"/>
        <w:rPr>
          <w:rFonts w:ascii="Calibri" w:eastAsia="Times New Roman" w:hAnsi="Calibri" w:cs="Arial"/>
          <w:b/>
          <w:sz w:val="24"/>
          <w:szCs w:val="24"/>
          <w:lang w:eastAsia="pl-PL"/>
        </w:rPr>
      </w:pPr>
    </w:p>
    <w:p w14:paraId="59890374" w14:textId="77777777" w:rsidR="00B53B6A" w:rsidRPr="00104C02" w:rsidRDefault="00B53B6A" w:rsidP="00B53B6A">
      <w:pPr>
        <w:widowControl w:val="0"/>
        <w:spacing w:after="0" w:line="240" w:lineRule="auto"/>
        <w:jc w:val="both"/>
        <w:rPr>
          <w:rFonts w:ascii="Calibri" w:eastAsia="Times New Roman" w:hAnsi="Calibri" w:cs="Arial"/>
          <w:b/>
          <w:sz w:val="24"/>
          <w:szCs w:val="24"/>
          <w:lang w:eastAsia="pl-PL"/>
        </w:rPr>
      </w:pPr>
      <w:r w:rsidRPr="00104C02">
        <w:rPr>
          <w:rFonts w:ascii="Calibri" w:eastAsia="Times New Roman" w:hAnsi="Calibri" w:cs="Arial"/>
          <w:b/>
          <w:sz w:val="24"/>
          <w:szCs w:val="24"/>
          <w:lang w:eastAsia="pl-PL"/>
        </w:rPr>
        <w:t xml:space="preserve">3. </w:t>
      </w:r>
      <w:r>
        <w:rPr>
          <w:rFonts w:ascii="Calibri" w:eastAsia="Times New Roman" w:hAnsi="Calibri" w:cs="Arial"/>
          <w:b/>
          <w:sz w:val="24"/>
          <w:szCs w:val="24"/>
          <w:lang w:eastAsia="pl-PL"/>
        </w:rPr>
        <w:t>Postanowienie</w:t>
      </w:r>
      <w:r w:rsidRPr="00104C02">
        <w:rPr>
          <w:rFonts w:ascii="Calibri" w:eastAsia="Times New Roman" w:hAnsi="Calibri" w:cs="Arial"/>
          <w:b/>
          <w:sz w:val="24"/>
          <w:szCs w:val="24"/>
          <w:lang w:eastAsia="pl-PL"/>
        </w:rPr>
        <w:t xml:space="preserve"> SN z dnia 2</w:t>
      </w:r>
      <w:r>
        <w:rPr>
          <w:rFonts w:ascii="Calibri" w:eastAsia="Times New Roman" w:hAnsi="Calibri" w:cs="Arial"/>
          <w:b/>
          <w:sz w:val="24"/>
          <w:szCs w:val="24"/>
          <w:lang w:eastAsia="pl-PL"/>
        </w:rPr>
        <w:t>9</w:t>
      </w:r>
      <w:r w:rsidRPr="00104C02">
        <w:rPr>
          <w:rFonts w:ascii="Calibri" w:eastAsia="Times New Roman" w:hAnsi="Calibri" w:cs="Arial"/>
          <w:b/>
          <w:sz w:val="24"/>
          <w:szCs w:val="24"/>
          <w:lang w:eastAsia="pl-PL"/>
        </w:rPr>
        <w:t xml:space="preserve"> </w:t>
      </w:r>
      <w:r>
        <w:rPr>
          <w:rFonts w:ascii="Calibri" w:eastAsia="Times New Roman" w:hAnsi="Calibri" w:cs="Arial"/>
          <w:b/>
          <w:sz w:val="24"/>
          <w:szCs w:val="24"/>
          <w:lang w:eastAsia="pl-PL"/>
        </w:rPr>
        <w:t>kwietnia</w:t>
      </w:r>
      <w:r w:rsidRPr="00104C02">
        <w:rPr>
          <w:rFonts w:ascii="Calibri" w:eastAsia="Times New Roman" w:hAnsi="Calibri" w:cs="Arial"/>
          <w:b/>
          <w:sz w:val="24"/>
          <w:szCs w:val="24"/>
          <w:lang w:eastAsia="pl-PL"/>
        </w:rPr>
        <w:t xml:space="preserve"> 20</w:t>
      </w:r>
      <w:r>
        <w:rPr>
          <w:rFonts w:ascii="Calibri" w:eastAsia="Times New Roman" w:hAnsi="Calibri" w:cs="Arial"/>
          <w:b/>
          <w:sz w:val="24"/>
          <w:szCs w:val="24"/>
          <w:lang w:eastAsia="pl-PL"/>
        </w:rPr>
        <w:t>21</w:t>
      </w:r>
      <w:r w:rsidRPr="00104C02">
        <w:rPr>
          <w:rFonts w:ascii="Calibri" w:eastAsia="Times New Roman" w:hAnsi="Calibri" w:cs="Arial"/>
          <w:b/>
          <w:sz w:val="24"/>
          <w:szCs w:val="24"/>
          <w:lang w:eastAsia="pl-PL"/>
        </w:rPr>
        <w:t xml:space="preserve"> r., </w:t>
      </w:r>
      <w:r>
        <w:rPr>
          <w:rFonts w:ascii="Calibri" w:eastAsia="Times New Roman" w:hAnsi="Calibri" w:cs="Arial"/>
          <w:b/>
          <w:sz w:val="24"/>
          <w:szCs w:val="24"/>
          <w:lang w:eastAsia="pl-PL"/>
        </w:rPr>
        <w:t>I USKP 28/21</w:t>
      </w:r>
    </w:p>
    <w:p w14:paraId="785657EC" w14:textId="77777777" w:rsidR="00B53B6A" w:rsidRDefault="00B53B6A" w:rsidP="00B53B6A">
      <w:pPr>
        <w:spacing w:after="0" w:line="240" w:lineRule="auto"/>
        <w:jc w:val="both"/>
        <w:rPr>
          <w:rFonts w:ascii="Calibri" w:eastAsia="Times New Roman" w:hAnsi="Calibri" w:cs="Times New Roman"/>
          <w:sz w:val="24"/>
          <w:szCs w:val="24"/>
          <w:lang w:eastAsia="pl-PL"/>
        </w:rPr>
      </w:pPr>
    </w:p>
    <w:p w14:paraId="2377FEB5" w14:textId="77777777" w:rsidR="00B53B6A" w:rsidRPr="009D24F2" w:rsidRDefault="00B53B6A" w:rsidP="00B53B6A">
      <w:pPr>
        <w:spacing w:after="0" w:line="240" w:lineRule="auto"/>
        <w:jc w:val="both"/>
        <w:rPr>
          <w:rFonts w:ascii="Calibri" w:eastAsia="Times New Roman" w:hAnsi="Calibri" w:cs="Times New Roman"/>
          <w:sz w:val="24"/>
          <w:szCs w:val="24"/>
          <w:lang w:eastAsia="pl-PL"/>
        </w:rPr>
      </w:pPr>
      <w:r w:rsidRPr="009D24F2">
        <w:rPr>
          <w:rFonts w:ascii="Calibri" w:eastAsia="Times New Roman" w:hAnsi="Calibri" w:cs="Times New Roman"/>
          <w:sz w:val="24"/>
          <w:szCs w:val="24"/>
          <w:lang w:eastAsia="pl-PL"/>
        </w:rPr>
        <w:t>TEZA</w:t>
      </w:r>
    </w:p>
    <w:p w14:paraId="4D7336E7" w14:textId="77777777" w:rsidR="00B53B6A" w:rsidRPr="009D24F2" w:rsidRDefault="00B53B6A" w:rsidP="00B53B6A">
      <w:pPr>
        <w:spacing w:after="0" w:line="360" w:lineRule="auto"/>
        <w:jc w:val="both"/>
        <w:rPr>
          <w:rFonts w:ascii="Calibri" w:eastAsia="Times New Roman" w:hAnsi="Calibri" w:cs="Times New Roman"/>
          <w:sz w:val="24"/>
          <w:szCs w:val="24"/>
          <w:lang w:eastAsia="pl-PL"/>
        </w:rPr>
      </w:pPr>
      <w:r w:rsidRPr="009D24F2">
        <w:rPr>
          <w:rFonts w:ascii="Calibri" w:eastAsia="Times New Roman" w:hAnsi="Calibri" w:cs="Times New Roman"/>
          <w:sz w:val="24"/>
          <w:szCs w:val="24"/>
          <w:lang w:eastAsia="pl-PL"/>
        </w:rPr>
        <w:t>Nabycie prawa do renty rodzinnej, choć jest to</w:t>
      </w:r>
      <w:r>
        <w:rPr>
          <w:rFonts w:ascii="Calibri" w:eastAsia="Times New Roman" w:hAnsi="Calibri" w:cs="Times New Roman"/>
          <w:sz w:val="24"/>
          <w:szCs w:val="24"/>
          <w:lang w:eastAsia="pl-PL"/>
        </w:rPr>
        <w:t xml:space="preserve"> </w:t>
      </w:r>
      <w:r w:rsidRPr="009D24F2">
        <w:rPr>
          <w:rFonts w:ascii="Calibri" w:eastAsia="Times New Roman" w:hAnsi="Calibri" w:cs="Times New Roman"/>
          <w:sz w:val="24"/>
          <w:szCs w:val="24"/>
          <w:lang w:eastAsia="pl-PL"/>
        </w:rPr>
        <w:t>świadczenie z ubezpieczenia społecznego, nie wymaga od uprawnionego posiadania okresu składkowego lub nieskładkowego. Uzależnione jest ono jednak od tego, czy osoba zmarła miała ustalone prawo do świadczeń emerytalno-</w:t>
      </w:r>
      <w:r w:rsidRPr="009D24F2">
        <w:rPr>
          <w:rFonts w:ascii="Calibri" w:eastAsia="Times New Roman" w:hAnsi="Calibri" w:cs="Times New Roman"/>
          <w:sz w:val="24"/>
          <w:szCs w:val="24"/>
          <w:lang w:eastAsia="pl-PL"/>
        </w:rPr>
        <w:lastRenderedPageBreak/>
        <w:t xml:space="preserve">rentowych lub spełniała warunki do uzyskania tych świadczeń, albo faktycznie pobierała wymienione wyżej świadczenia. Pomiędzy pobieranym przed śmiercią przez zmarłego żywiciela świadczeniem z ubezpieczenia społecznego a należną c </w:t>
      </w:r>
      <w:proofErr w:type="spellStart"/>
      <w:r w:rsidRPr="009D24F2">
        <w:rPr>
          <w:rFonts w:ascii="Calibri" w:eastAsia="Times New Roman" w:hAnsi="Calibri" w:cs="Times New Roman"/>
          <w:sz w:val="24"/>
          <w:szCs w:val="24"/>
          <w:lang w:eastAsia="pl-PL"/>
        </w:rPr>
        <w:t>złonkowi</w:t>
      </w:r>
      <w:proofErr w:type="spellEnd"/>
      <w:r w:rsidRPr="009D24F2">
        <w:rPr>
          <w:rFonts w:ascii="Calibri" w:eastAsia="Times New Roman" w:hAnsi="Calibri" w:cs="Times New Roman"/>
          <w:sz w:val="24"/>
          <w:szCs w:val="24"/>
          <w:lang w:eastAsia="pl-PL"/>
        </w:rPr>
        <w:t xml:space="preserve"> jego rodziny rentą rodzinną istnieje ścisły związek. Jeżeli bowiem zmarły żywiciel był obciążony obowiązkiem alimentacyjnym względem c </w:t>
      </w:r>
      <w:proofErr w:type="spellStart"/>
      <w:r w:rsidRPr="009D24F2">
        <w:rPr>
          <w:rFonts w:ascii="Calibri" w:eastAsia="Times New Roman" w:hAnsi="Calibri" w:cs="Times New Roman"/>
          <w:sz w:val="24"/>
          <w:szCs w:val="24"/>
          <w:lang w:eastAsia="pl-PL"/>
        </w:rPr>
        <w:t>złonka</w:t>
      </w:r>
      <w:proofErr w:type="spellEnd"/>
      <w:r w:rsidRPr="009D24F2">
        <w:rPr>
          <w:rFonts w:ascii="Calibri" w:eastAsia="Times New Roman" w:hAnsi="Calibri" w:cs="Times New Roman"/>
          <w:sz w:val="24"/>
          <w:szCs w:val="24"/>
          <w:lang w:eastAsia="pl-PL"/>
        </w:rPr>
        <w:t xml:space="preserve"> rodziny i w trakcie realizacji tego obowiązku zmarł, to istnieje wysokie prawdopodobieństwo, że obowiązek ten przed śmiercią realizował właśnie z pobieranych świadczeń z ubezpieczenia społecznego. Skoro zatem w momencie jego śmierci ustała realizacja względem niego świadczeń wypłacanych wcześniej przez Zakład Ubezpieczeń Społecznym, a tym samym ustało przekazywanie świadczeń alimentacyjnych na rzecz c </w:t>
      </w:r>
      <w:proofErr w:type="spellStart"/>
      <w:r w:rsidRPr="009D24F2">
        <w:rPr>
          <w:rFonts w:ascii="Calibri" w:eastAsia="Times New Roman" w:hAnsi="Calibri" w:cs="Times New Roman"/>
          <w:sz w:val="24"/>
          <w:szCs w:val="24"/>
          <w:lang w:eastAsia="pl-PL"/>
        </w:rPr>
        <w:t>złonka</w:t>
      </w:r>
      <w:proofErr w:type="spellEnd"/>
      <w:r w:rsidRPr="009D24F2">
        <w:rPr>
          <w:rFonts w:ascii="Calibri" w:eastAsia="Times New Roman" w:hAnsi="Calibri" w:cs="Times New Roman"/>
          <w:sz w:val="24"/>
          <w:szCs w:val="24"/>
          <w:lang w:eastAsia="pl-PL"/>
        </w:rPr>
        <w:t xml:space="preserve"> jego rodziny, to wydaje się zasadne, że osobie uprawnionej do alimentów strata ta powinna zostać zrekompensowana przez przyznanie jej renty rodzinnej. Jest to tym bardziej słuszne, że zmarły żywiciel, odprowadzając składki na ubezpieczenie społeczne w okresie swojej aktywności zawodowej, przyczyniał się do gromadzenia środków, z których następnie, po zaistnieniu ryzyka ubezpieczeniowego, miałyby być mu wypłacane stosowne świadczenia. Renta rodzinna pozwala na uzyskanie części tych świadczeń bezpośrednio przez c </w:t>
      </w:r>
      <w:proofErr w:type="spellStart"/>
      <w:r w:rsidRPr="009D24F2">
        <w:rPr>
          <w:rFonts w:ascii="Calibri" w:eastAsia="Times New Roman" w:hAnsi="Calibri" w:cs="Times New Roman"/>
          <w:sz w:val="24"/>
          <w:szCs w:val="24"/>
          <w:lang w:eastAsia="pl-PL"/>
        </w:rPr>
        <w:t>złonków</w:t>
      </w:r>
      <w:proofErr w:type="spellEnd"/>
      <w:r w:rsidRPr="009D24F2">
        <w:rPr>
          <w:rFonts w:ascii="Calibri" w:eastAsia="Times New Roman" w:hAnsi="Calibri" w:cs="Times New Roman"/>
          <w:sz w:val="24"/>
          <w:szCs w:val="24"/>
          <w:lang w:eastAsia="pl-PL"/>
        </w:rPr>
        <w:t xml:space="preserve"> rodziny zmarłego lub - jak w wypadku rozwiedzionego małżonka - byłych c </w:t>
      </w:r>
      <w:proofErr w:type="spellStart"/>
      <w:r w:rsidRPr="009D24F2">
        <w:rPr>
          <w:rFonts w:ascii="Calibri" w:eastAsia="Times New Roman" w:hAnsi="Calibri" w:cs="Times New Roman"/>
          <w:sz w:val="24"/>
          <w:szCs w:val="24"/>
          <w:lang w:eastAsia="pl-PL"/>
        </w:rPr>
        <w:t>złonków</w:t>
      </w:r>
      <w:proofErr w:type="spellEnd"/>
      <w:r w:rsidRPr="009D24F2">
        <w:rPr>
          <w:rFonts w:ascii="Calibri" w:eastAsia="Times New Roman" w:hAnsi="Calibri" w:cs="Times New Roman"/>
          <w:sz w:val="24"/>
          <w:szCs w:val="24"/>
          <w:lang w:eastAsia="pl-PL"/>
        </w:rPr>
        <w:t xml:space="preserve"> rodziny zmarłego, względem których na zmarłym w chwili jego śmierci ciążył obowiązek alimentacyjny. W tej sytuacji renta rodzinna niejako zastępuje świadczenia z ubezpieczenia społecznego, a prawo do jej otrzymania przez osoby uprawnione jest ściśle związane z tym, że zmarły w chwili śmierci nabył lub spełniał warunki do nabycia tych świadczeń.</w:t>
      </w:r>
    </w:p>
    <w:p w14:paraId="580E0AE4" w14:textId="77777777" w:rsidR="00B53B6A" w:rsidRPr="009D24F2" w:rsidRDefault="00B53B6A" w:rsidP="00B53B6A">
      <w:pPr>
        <w:spacing w:after="0" w:line="360" w:lineRule="auto"/>
        <w:jc w:val="both"/>
        <w:rPr>
          <w:rFonts w:ascii="Calibri" w:eastAsia="Times New Roman" w:hAnsi="Calibri" w:cs="Times New Roman"/>
          <w:sz w:val="24"/>
          <w:szCs w:val="24"/>
          <w:lang w:eastAsia="pl-PL"/>
        </w:rPr>
      </w:pPr>
      <w:r w:rsidRPr="009D24F2">
        <w:rPr>
          <w:rFonts w:ascii="Calibri" w:eastAsia="Times New Roman" w:hAnsi="Calibri" w:cs="Times New Roman"/>
          <w:sz w:val="24"/>
          <w:szCs w:val="24"/>
          <w:lang w:eastAsia="pl-PL"/>
        </w:rPr>
        <w:t>TEZA</w:t>
      </w:r>
    </w:p>
    <w:p w14:paraId="2DC4B7E7" w14:textId="77777777" w:rsidR="00B53B6A" w:rsidRDefault="00B53B6A" w:rsidP="00B53B6A">
      <w:pPr>
        <w:spacing w:after="0" w:line="360" w:lineRule="auto"/>
        <w:jc w:val="both"/>
        <w:rPr>
          <w:rFonts w:ascii="Calibri" w:eastAsia="Times New Roman" w:hAnsi="Calibri" w:cs="Times New Roman"/>
          <w:sz w:val="24"/>
          <w:szCs w:val="24"/>
          <w:lang w:eastAsia="pl-PL"/>
        </w:rPr>
      </w:pPr>
      <w:r w:rsidRPr="009D24F2">
        <w:rPr>
          <w:rFonts w:ascii="Calibri" w:eastAsia="Times New Roman" w:hAnsi="Calibri" w:cs="Times New Roman"/>
          <w:sz w:val="24"/>
          <w:szCs w:val="24"/>
          <w:lang w:eastAsia="pl-PL"/>
        </w:rPr>
        <w:t>Renta rodzinna w polskim systemie prawnym jest świadczeniem niejako "zastępczym", "wtórnym" w stosunku do prawa do emerytury lub renty z tytułu niezdolności do pracy, które miał zmarły żywiciel. Uprawniony członek rodziny nabywa wprawdzie samodzielnie prawo do renty rodzinnej jako odrębne świadczenie, ale nabywa to prawo w miejsce prawa do świadczenia, które przysługiwałoby zmarłemu. Prawo do renty rodzinnej jest zatem prawem pochodnym, jednakże jego podstawową funkcją jest zapewnienie środków utrzymania krewnym i powinowatym, którzy nie są w stanie utrzymać się samodzielnie. Ten alimentacyjny cel renty rodzinnej powinien być uwzględniany w procesie interpretacji i oceny uregulowań dotyczących tego świadczenia.</w:t>
      </w:r>
    </w:p>
    <w:p w14:paraId="6ECFE20C" w14:textId="77777777" w:rsidR="00B53B6A" w:rsidRPr="009D24F2" w:rsidRDefault="00B53B6A" w:rsidP="00B53B6A">
      <w:pPr>
        <w:spacing w:after="0" w:line="360" w:lineRule="auto"/>
        <w:jc w:val="both"/>
        <w:rPr>
          <w:rFonts w:ascii="Calibri" w:eastAsia="Times New Roman" w:hAnsi="Calibri" w:cs="Times New Roman"/>
          <w:sz w:val="24"/>
          <w:szCs w:val="24"/>
          <w:lang w:eastAsia="pl-PL"/>
        </w:rPr>
      </w:pPr>
    </w:p>
    <w:p w14:paraId="381FCAFD" w14:textId="77777777" w:rsidR="00B53B6A" w:rsidRPr="00104C02" w:rsidRDefault="00B53B6A" w:rsidP="00B53B6A">
      <w:pPr>
        <w:spacing w:after="0" w:line="240" w:lineRule="auto"/>
        <w:jc w:val="both"/>
        <w:rPr>
          <w:rFonts w:ascii="Calibri" w:eastAsia="Times New Roman" w:hAnsi="Calibri" w:cs="Arial"/>
          <w:b/>
          <w:sz w:val="24"/>
          <w:szCs w:val="24"/>
          <w:lang w:eastAsia="pl-PL"/>
        </w:rPr>
      </w:pPr>
      <w:r w:rsidRPr="00104C02">
        <w:rPr>
          <w:rFonts w:ascii="Calibri" w:eastAsia="Times New Roman" w:hAnsi="Calibri" w:cs="Times New Roman"/>
          <w:sz w:val="24"/>
          <w:szCs w:val="24"/>
          <w:lang w:eastAsia="pl-PL"/>
        </w:rPr>
        <w:t xml:space="preserve">4. </w:t>
      </w:r>
      <w:r>
        <w:rPr>
          <w:rFonts w:ascii="Calibri" w:eastAsia="Times New Roman" w:hAnsi="Calibri" w:cs="Arial"/>
          <w:b/>
          <w:sz w:val="24"/>
          <w:szCs w:val="24"/>
          <w:lang w:eastAsia="pl-PL"/>
        </w:rPr>
        <w:t xml:space="preserve">Wyrok </w:t>
      </w:r>
      <w:r w:rsidRPr="00104C02">
        <w:rPr>
          <w:rFonts w:ascii="Calibri" w:eastAsia="Times New Roman" w:hAnsi="Calibri" w:cs="Arial"/>
          <w:b/>
          <w:sz w:val="24"/>
          <w:szCs w:val="24"/>
          <w:lang w:eastAsia="pl-PL"/>
        </w:rPr>
        <w:t xml:space="preserve"> SN z dnia </w:t>
      </w:r>
      <w:r>
        <w:rPr>
          <w:rFonts w:ascii="Calibri" w:eastAsia="Times New Roman" w:hAnsi="Calibri" w:cs="Arial"/>
          <w:b/>
          <w:sz w:val="24"/>
          <w:szCs w:val="24"/>
          <w:lang w:eastAsia="pl-PL"/>
        </w:rPr>
        <w:t>4</w:t>
      </w:r>
      <w:r w:rsidRPr="00104C02">
        <w:rPr>
          <w:rFonts w:ascii="Calibri" w:eastAsia="Times New Roman" w:hAnsi="Calibri" w:cs="Arial"/>
          <w:b/>
          <w:sz w:val="24"/>
          <w:szCs w:val="24"/>
          <w:lang w:eastAsia="pl-PL"/>
        </w:rPr>
        <w:t xml:space="preserve"> </w:t>
      </w:r>
      <w:r>
        <w:rPr>
          <w:rFonts w:ascii="Calibri" w:eastAsia="Times New Roman" w:hAnsi="Calibri" w:cs="Arial"/>
          <w:b/>
          <w:sz w:val="24"/>
          <w:szCs w:val="24"/>
          <w:lang w:eastAsia="pl-PL"/>
        </w:rPr>
        <w:t>listopada</w:t>
      </w:r>
      <w:r w:rsidRPr="00104C02">
        <w:rPr>
          <w:rFonts w:ascii="Calibri" w:eastAsia="Times New Roman" w:hAnsi="Calibri" w:cs="Arial"/>
          <w:b/>
          <w:sz w:val="24"/>
          <w:szCs w:val="24"/>
          <w:lang w:eastAsia="pl-PL"/>
        </w:rPr>
        <w:t xml:space="preserve"> 20</w:t>
      </w:r>
      <w:r>
        <w:rPr>
          <w:rFonts w:ascii="Calibri" w:eastAsia="Times New Roman" w:hAnsi="Calibri" w:cs="Arial"/>
          <w:b/>
          <w:sz w:val="24"/>
          <w:szCs w:val="24"/>
          <w:lang w:eastAsia="pl-PL"/>
        </w:rPr>
        <w:t>15</w:t>
      </w:r>
      <w:r w:rsidRPr="00104C02">
        <w:rPr>
          <w:rFonts w:ascii="Calibri" w:eastAsia="Times New Roman" w:hAnsi="Calibri" w:cs="Arial"/>
          <w:b/>
          <w:sz w:val="24"/>
          <w:szCs w:val="24"/>
          <w:lang w:eastAsia="pl-PL"/>
        </w:rPr>
        <w:t xml:space="preserve"> r., I </w:t>
      </w:r>
      <w:r>
        <w:rPr>
          <w:rFonts w:ascii="Calibri" w:eastAsia="Times New Roman" w:hAnsi="Calibri" w:cs="Arial"/>
          <w:b/>
          <w:sz w:val="24"/>
          <w:szCs w:val="24"/>
          <w:lang w:eastAsia="pl-PL"/>
        </w:rPr>
        <w:t>UK</w:t>
      </w:r>
      <w:r w:rsidRPr="00104C02">
        <w:rPr>
          <w:rFonts w:ascii="Calibri" w:eastAsia="Times New Roman" w:hAnsi="Calibri" w:cs="Arial"/>
          <w:b/>
          <w:sz w:val="24"/>
          <w:szCs w:val="24"/>
          <w:lang w:eastAsia="pl-PL"/>
        </w:rPr>
        <w:t xml:space="preserve"> </w:t>
      </w:r>
      <w:r>
        <w:rPr>
          <w:rFonts w:ascii="Calibri" w:eastAsia="Times New Roman" w:hAnsi="Calibri" w:cs="Arial"/>
          <w:b/>
          <w:sz w:val="24"/>
          <w:szCs w:val="24"/>
          <w:lang w:eastAsia="pl-PL"/>
        </w:rPr>
        <w:t>508</w:t>
      </w:r>
      <w:r w:rsidRPr="00104C02">
        <w:rPr>
          <w:rFonts w:ascii="Calibri" w:eastAsia="Times New Roman" w:hAnsi="Calibri" w:cs="Arial"/>
          <w:b/>
          <w:sz w:val="24"/>
          <w:szCs w:val="24"/>
          <w:lang w:eastAsia="pl-PL"/>
        </w:rPr>
        <w:t>/</w:t>
      </w:r>
      <w:r>
        <w:rPr>
          <w:rFonts w:ascii="Calibri" w:eastAsia="Times New Roman" w:hAnsi="Calibri" w:cs="Arial"/>
          <w:b/>
          <w:sz w:val="24"/>
          <w:szCs w:val="24"/>
          <w:lang w:eastAsia="pl-PL"/>
        </w:rPr>
        <w:t>14</w:t>
      </w:r>
    </w:p>
    <w:p w14:paraId="36BB23A7" w14:textId="77777777" w:rsidR="00B53B6A" w:rsidRDefault="00B53B6A" w:rsidP="00B53B6A">
      <w:pPr>
        <w:rPr>
          <w:rFonts w:ascii="Calibri" w:eastAsia="Times New Roman" w:hAnsi="Calibri" w:cs="Times New Roman"/>
          <w:sz w:val="24"/>
          <w:szCs w:val="24"/>
          <w:lang w:eastAsia="pl-PL"/>
        </w:rPr>
      </w:pPr>
    </w:p>
    <w:p w14:paraId="44538C0B" w14:textId="77777777" w:rsidR="00B53B6A" w:rsidRPr="00135D68" w:rsidRDefault="00B53B6A" w:rsidP="00B53B6A">
      <w:pPr>
        <w:spacing w:line="360" w:lineRule="auto"/>
        <w:jc w:val="both"/>
        <w:rPr>
          <w:rFonts w:ascii="Calibri" w:eastAsia="Times New Roman" w:hAnsi="Calibri" w:cs="Times New Roman"/>
          <w:sz w:val="24"/>
          <w:szCs w:val="24"/>
          <w:lang w:eastAsia="pl-PL"/>
        </w:rPr>
      </w:pPr>
      <w:r>
        <w:rPr>
          <w:rFonts w:ascii="Calibri" w:eastAsia="Times New Roman" w:hAnsi="Calibri" w:cs="Times New Roman"/>
          <w:sz w:val="24"/>
          <w:szCs w:val="24"/>
          <w:lang w:eastAsia="pl-PL"/>
        </w:rPr>
        <w:t>P</w:t>
      </w:r>
      <w:r w:rsidRPr="00135D68">
        <w:rPr>
          <w:rFonts w:ascii="Calibri" w:eastAsia="Times New Roman" w:hAnsi="Calibri" w:cs="Times New Roman"/>
          <w:sz w:val="24"/>
          <w:szCs w:val="24"/>
          <w:lang w:eastAsia="pl-PL"/>
        </w:rPr>
        <w:t xml:space="preserve">rzepis art. 65 ust. 2 </w:t>
      </w:r>
      <w:proofErr w:type="spellStart"/>
      <w:r w:rsidRPr="00135D68">
        <w:rPr>
          <w:rFonts w:ascii="Calibri" w:eastAsia="Times New Roman" w:hAnsi="Calibri" w:cs="Times New Roman"/>
          <w:sz w:val="24"/>
          <w:szCs w:val="24"/>
          <w:lang w:eastAsia="pl-PL"/>
        </w:rPr>
        <w:t>u.e.r.f.u.s</w:t>
      </w:r>
      <w:proofErr w:type="spellEnd"/>
      <w:r w:rsidRPr="00135D68">
        <w:rPr>
          <w:rFonts w:ascii="Calibri" w:eastAsia="Times New Roman" w:hAnsi="Calibri" w:cs="Times New Roman"/>
          <w:sz w:val="24"/>
          <w:szCs w:val="24"/>
          <w:lang w:eastAsia="pl-PL"/>
        </w:rPr>
        <w:t xml:space="preserve">. należy rozumieć w ten sposób, iż osoba zmarła musi być traktowana jako osoba całkowicie niezdolna do pracy "w świetle prawa" do renty z tytułu niezdolności do pracy nabywanej na warunkach określonych zarówno w art. 57 ust. 1 jak </w:t>
      </w:r>
      <w:r>
        <w:rPr>
          <w:rFonts w:ascii="Calibri" w:eastAsia="Times New Roman" w:hAnsi="Calibri" w:cs="Times New Roman"/>
          <w:sz w:val="24"/>
          <w:szCs w:val="24"/>
          <w:lang w:eastAsia="pl-PL"/>
        </w:rPr>
        <w:br/>
      </w:r>
      <w:r w:rsidRPr="00135D68">
        <w:rPr>
          <w:rFonts w:ascii="Calibri" w:eastAsia="Times New Roman" w:hAnsi="Calibri" w:cs="Times New Roman"/>
          <w:sz w:val="24"/>
          <w:szCs w:val="24"/>
          <w:lang w:eastAsia="pl-PL"/>
        </w:rPr>
        <w:t xml:space="preserve">i w art. 57 ust. 2 </w:t>
      </w:r>
      <w:proofErr w:type="spellStart"/>
      <w:r w:rsidRPr="00135D68">
        <w:rPr>
          <w:rFonts w:ascii="Calibri" w:eastAsia="Times New Roman" w:hAnsi="Calibri" w:cs="Times New Roman"/>
          <w:sz w:val="24"/>
          <w:szCs w:val="24"/>
          <w:lang w:eastAsia="pl-PL"/>
        </w:rPr>
        <w:t>u.e.r.f.u.s</w:t>
      </w:r>
      <w:proofErr w:type="spellEnd"/>
      <w:r w:rsidRPr="00135D68">
        <w:rPr>
          <w:rFonts w:ascii="Calibri" w:eastAsia="Times New Roman" w:hAnsi="Calibri" w:cs="Times New Roman"/>
          <w:sz w:val="24"/>
          <w:szCs w:val="24"/>
          <w:lang w:eastAsia="pl-PL"/>
        </w:rPr>
        <w:t>.</w:t>
      </w:r>
    </w:p>
    <w:p w14:paraId="54305BAF" w14:textId="77777777" w:rsidR="00B53B6A" w:rsidRPr="00135D68" w:rsidRDefault="00B53B6A" w:rsidP="00B53B6A">
      <w:pPr>
        <w:spacing w:line="360" w:lineRule="auto"/>
        <w:jc w:val="both"/>
        <w:rPr>
          <w:rFonts w:ascii="Calibri" w:eastAsia="Times New Roman" w:hAnsi="Calibri" w:cs="Times New Roman"/>
          <w:sz w:val="24"/>
          <w:szCs w:val="24"/>
          <w:lang w:eastAsia="pl-PL"/>
        </w:rPr>
      </w:pPr>
      <w:r w:rsidRPr="00135D68">
        <w:rPr>
          <w:rFonts w:ascii="Calibri" w:eastAsia="Times New Roman" w:hAnsi="Calibri" w:cs="Times New Roman"/>
          <w:sz w:val="24"/>
          <w:szCs w:val="24"/>
          <w:lang w:eastAsia="pl-PL"/>
        </w:rPr>
        <w:t>Prawo do renty rodzinnej jest tylko pochodną prawa zmarłego do renty z tytułu niezdolności do pracy (także w tym sensie, że wysokość renty rodzinnej "zależy" od wysokości świadczenia, do którego miał prawo poprzednik prawny), przy przyjęciu w każdym przypadku założenia, że w chwili śmierci był on całkowicie niezdolny do pracy.</w:t>
      </w:r>
    </w:p>
    <w:p w14:paraId="5E3A32AC" w14:textId="77777777" w:rsidR="00B53B6A" w:rsidRPr="00135D68" w:rsidRDefault="00B53B6A" w:rsidP="00B53B6A">
      <w:pPr>
        <w:spacing w:line="360" w:lineRule="auto"/>
        <w:jc w:val="both"/>
        <w:rPr>
          <w:rFonts w:ascii="Calibri" w:eastAsia="Times New Roman" w:hAnsi="Calibri" w:cs="Times New Roman"/>
          <w:sz w:val="24"/>
          <w:szCs w:val="24"/>
          <w:lang w:eastAsia="pl-PL"/>
        </w:rPr>
      </w:pPr>
      <w:r w:rsidRPr="00135D68">
        <w:rPr>
          <w:rFonts w:ascii="Calibri" w:eastAsia="Times New Roman" w:hAnsi="Calibri" w:cs="Times New Roman"/>
          <w:sz w:val="24"/>
          <w:szCs w:val="24"/>
          <w:lang w:eastAsia="pl-PL"/>
        </w:rPr>
        <w:t>Wysokość renty rodzinnej stanowi pochodną wysokości świadczenia rentowego, które przysługiwałoby zmarłemu, gdyby żył i był osobą niezdolną do pracy w stopniu całkowitym. Chronionym rentą rodzinną ryzykiem socjalnym jest tzw. utrata (śmierć) żywiciela.</w:t>
      </w:r>
    </w:p>
    <w:p w14:paraId="79B6D21D" w14:textId="77777777" w:rsidR="00B53B6A" w:rsidRDefault="00B53B6A" w:rsidP="00B53B6A">
      <w:pPr>
        <w:spacing w:line="360" w:lineRule="auto"/>
        <w:jc w:val="both"/>
      </w:pPr>
    </w:p>
    <w:p w14:paraId="75A7965F" w14:textId="77777777" w:rsidR="00B53B6A" w:rsidRDefault="00B53B6A" w:rsidP="00B53B6A"/>
    <w:p w14:paraId="4EEE4571" w14:textId="77777777" w:rsidR="003C23FF" w:rsidRDefault="003C23FF"/>
    <w:sectPr w:rsidR="003C23FF" w:rsidSect="002B1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E0311"/>
    <w:multiLevelType w:val="hybridMultilevel"/>
    <w:tmpl w:val="242E6280"/>
    <w:lvl w:ilvl="0" w:tplc="7CA2E508">
      <w:start w:val="1"/>
      <w:numFmt w:val="decimal"/>
      <w:lvlText w:val="%1."/>
      <w:lvlJc w:val="left"/>
      <w:pPr>
        <w:ind w:left="720" w:hanging="360"/>
      </w:pPr>
      <w:rPr>
        <w:rFonts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049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6A"/>
    <w:rsid w:val="003C23FF"/>
    <w:rsid w:val="00B53B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9FA1"/>
  <w15:chartTrackingRefBased/>
  <w15:docId w15:val="{4250F9B8-9B88-4138-AB08-9CD4A5AC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3B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3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4785</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Szynal</dc:creator>
  <cp:keywords/>
  <dc:description/>
  <cp:lastModifiedBy>Grzegorz Szynal</cp:lastModifiedBy>
  <cp:revision>1</cp:revision>
  <dcterms:created xsi:type="dcterms:W3CDTF">2023-01-30T15:04:00Z</dcterms:created>
  <dcterms:modified xsi:type="dcterms:W3CDTF">2023-01-30T15:04:00Z</dcterms:modified>
</cp:coreProperties>
</file>