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928" w14:textId="77777777" w:rsidR="00581B04" w:rsidRDefault="00581B04" w:rsidP="00581B04">
      <w:pPr>
        <w:spacing w:after="0" w:line="240" w:lineRule="auto"/>
        <w:ind w:firstLine="708"/>
        <w:jc w:val="both"/>
        <w:rPr>
          <w:rFonts w:cstheme="minorHAnsi"/>
          <w:b/>
          <w:bCs/>
          <w:color w:val="333333"/>
          <w:sz w:val="24"/>
          <w:szCs w:val="24"/>
          <w:shd w:val="clear" w:color="auto" w:fill="FFFFFF"/>
        </w:rPr>
      </w:pPr>
      <w:r>
        <w:rPr>
          <w:rFonts w:cstheme="minorHAnsi"/>
          <w:b/>
          <w:bCs/>
          <w:color w:val="333333"/>
          <w:sz w:val="24"/>
          <w:szCs w:val="24"/>
          <w:shd w:val="clear" w:color="auto" w:fill="FFFFFF"/>
        </w:rPr>
        <w:t>Wybrane orzecznictwo:</w:t>
      </w:r>
    </w:p>
    <w:p w14:paraId="73920FA6" w14:textId="77777777" w:rsidR="00581B04" w:rsidRDefault="00581B04" w:rsidP="00581B04">
      <w:pPr>
        <w:spacing w:after="0" w:line="240" w:lineRule="auto"/>
        <w:ind w:firstLine="708"/>
        <w:jc w:val="both"/>
        <w:rPr>
          <w:rFonts w:cstheme="minorHAnsi"/>
          <w:b/>
          <w:color w:val="333333"/>
          <w:sz w:val="24"/>
          <w:szCs w:val="24"/>
          <w:shd w:val="clear" w:color="auto" w:fill="FFFFFF"/>
        </w:rPr>
      </w:pPr>
      <w:r>
        <w:rPr>
          <w:rFonts w:cstheme="minorHAnsi"/>
          <w:b/>
          <w:color w:val="333333"/>
          <w:sz w:val="24"/>
          <w:szCs w:val="24"/>
          <w:shd w:val="clear" w:color="auto" w:fill="FFFFFF"/>
        </w:rPr>
        <w:t>Wyrok SN z 12 maja 2021 r., I USKP 21/21</w:t>
      </w:r>
    </w:p>
    <w:p w14:paraId="456F57B4" w14:textId="77777777" w:rsidR="00581B04" w:rsidRDefault="00581B04" w:rsidP="00581B04">
      <w:pPr>
        <w:spacing w:after="0" w:line="240" w:lineRule="auto"/>
        <w:ind w:firstLine="708"/>
        <w:jc w:val="both"/>
        <w:rPr>
          <w:rFonts w:cstheme="minorHAnsi"/>
          <w:color w:val="333333"/>
          <w:sz w:val="24"/>
          <w:szCs w:val="24"/>
          <w:shd w:val="clear" w:color="auto" w:fill="FFFFFF"/>
        </w:rPr>
      </w:pPr>
      <w:r>
        <w:rPr>
          <w:rFonts w:cstheme="minorHAnsi"/>
          <w:color w:val="333333"/>
          <w:sz w:val="24"/>
          <w:szCs w:val="24"/>
          <w:shd w:val="clear" w:color="auto" w:fill="FFFFFF"/>
        </w:rPr>
        <w:t>Zaliczenie okresu pracy do zatrudnienia w szczególnych warunków jest możliwe, gdy taka praca była wykonywana stale i w pełnym wymiarze czasu pracy. Statusu takiego nie posiada okres zatrudnienia, w którym pracownik wykonuje poza czynnościami zaliczonymi do prac w szczególnych warunkach również inne prace niewymienione w załączniku do rozporządzenia. Od tej zasady istnieją odstępstwa. Pierwsze z nich dotyczy sytuacji, kiedy inne równocześnie wykonywane prace stanowią integralną część większej całości dającej się zakwalifikować pod określoną pozycję załącznika do rozporządzenia z dnia 7 lutego 1983 r. w sprawie wieku emerytalnego pracowników zatrudnionych w szczególnych warunkach lub w szczególnym charakterze. Drugie odstępstwo dotyczy przypadków, kiedy czynności wykonywane w warunkach nienarażających na działanie czynników szkodliwych dla zdrowia mają charakter incydentalny, krótkotrwały, uboczny.</w:t>
      </w:r>
    </w:p>
    <w:p w14:paraId="5B846CBB" w14:textId="77777777" w:rsidR="00581B04" w:rsidRDefault="00581B04" w:rsidP="00581B04">
      <w:pPr>
        <w:spacing w:after="0" w:line="240" w:lineRule="auto"/>
        <w:ind w:firstLine="708"/>
        <w:jc w:val="both"/>
        <w:rPr>
          <w:rFonts w:cstheme="minorHAnsi"/>
          <w:b/>
          <w:color w:val="333333"/>
          <w:sz w:val="24"/>
          <w:szCs w:val="24"/>
          <w:shd w:val="clear" w:color="auto" w:fill="FFFFFF"/>
        </w:rPr>
      </w:pPr>
      <w:r>
        <w:rPr>
          <w:rFonts w:cstheme="minorHAnsi"/>
          <w:b/>
          <w:color w:val="333333"/>
          <w:sz w:val="24"/>
          <w:szCs w:val="24"/>
          <w:shd w:val="clear" w:color="auto" w:fill="FFFFFF"/>
        </w:rPr>
        <w:t xml:space="preserve">Wyrok SN z 25 lutego 2021 r., III USKP 34/21 </w:t>
      </w:r>
    </w:p>
    <w:p w14:paraId="024C21B2" w14:textId="77777777" w:rsidR="00581B04" w:rsidRDefault="00581B04" w:rsidP="00581B04">
      <w:pPr>
        <w:spacing w:after="0" w:line="240" w:lineRule="auto"/>
        <w:ind w:firstLine="708"/>
        <w:jc w:val="both"/>
        <w:rPr>
          <w:rFonts w:cstheme="minorHAnsi"/>
          <w:color w:val="333333"/>
          <w:sz w:val="24"/>
          <w:szCs w:val="24"/>
          <w:shd w:val="clear" w:color="auto" w:fill="FFFFFF"/>
        </w:rPr>
      </w:pPr>
      <w:r>
        <w:rPr>
          <w:rFonts w:cstheme="minorHAnsi"/>
          <w:color w:val="333333"/>
          <w:sz w:val="24"/>
          <w:szCs w:val="24"/>
          <w:shd w:val="clear" w:color="auto" w:fill="FFFFFF"/>
        </w:rPr>
        <w:t>W sprawach o emeryturę w obniżonym wieku nie jest wystarczające poprzestanie na nazwie zajmowanego stanowiska pracy bez próby ustalenia, jakie faktycznie prace wykonywał skarżący i czy stanowią one rodzaj prac wymienionych w załączniku A do rozporządzenia z 7 lutego 1983 r. w sprawie wieku emerytalnego pracowników zatrudnionych w szczególnych warunkach lub szczególnym charakterze (Dz. U. z 1983 r. Nr 8, poz. 43).</w:t>
      </w:r>
    </w:p>
    <w:p w14:paraId="3DB56263" w14:textId="77777777" w:rsidR="00581B04" w:rsidRDefault="00581B04" w:rsidP="00581B04">
      <w:pPr>
        <w:spacing w:after="0" w:line="240" w:lineRule="auto"/>
        <w:ind w:firstLine="708"/>
        <w:jc w:val="both"/>
        <w:rPr>
          <w:rFonts w:cstheme="minorHAnsi"/>
          <w:b/>
          <w:color w:val="333333"/>
          <w:sz w:val="24"/>
          <w:szCs w:val="24"/>
          <w:shd w:val="clear" w:color="auto" w:fill="FFFFFF"/>
        </w:rPr>
      </w:pPr>
      <w:r>
        <w:rPr>
          <w:rFonts w:cstheme="minorHAnsi"/>
          <w:b/>
          <w:color w:val="333333"/>
          <w:sz w:val="24"/>
          <w:szCs w:val="24"/>
          <w:shd w:val="clear" w:color="auto" w:fill="FFFFFF"/>
        </w:rPr>
        <w:t>Uchwała SN z 8 sierpnia 2019 r., III UZP 3/19</w:t>
      </w:r>
    </w:p>
    <w:p w14:paraId="728C36B2" w14:textId="77777777" w:rsidR="00581B04" w:rsidRDefault="00581B04" w:rsidP="00581B04">
      <w:pPr>
        <w:spacing w:after="0" w:line="240" w:lineRule="auto"/>
        <w:ind w:firstLine="708"/>
        <w:jc w:val="both"/>
        <w:rPr>
          <w:rFonts w:cstheme="minorHAnsi"/>
          <w:color w:val="333333"/>
          <w:sz w:val="24"/>
          <w:szCs w:val="24"/>
          <w:shd w:val="clear" w:color="auto" w:fill="FFFFFF"/>
        </w:rPr>
      </w:pPr>
      <w:r>
        <w:rPr>
          <w:rFonts w:cstheme="minorHAnsi"/>
          <w:color w:val="333333"/>
          <w:sz w:val="24"/>
          <w:szCs w:val="24"/>
          <w:shd w:val="clear" w:color="auto" w:fill="FFFFFF"/>
        </w:rPr>
        <w:t xml:space="preserve">Pracy traktorzysty w rolnictwie wykonywanej w okresie obowiązywania rozporządzenia Rady Ministrów z dnia 10 września 1956 r. w sprawie zaliczania pracowników do kategorii zatrudnienia (Dz. U. Nr 39, poz. 176 z </w:t>
      </w:r>
      <w:proofErr w:type="spellStart"/>
      <w:r>
        <w:rPr>
          <w:rFonts w:cstheme="minorHAnsi"/>
          <w:color w:val="333333"/>
          <w:sz w:val="24"/>
          <w:szCs w:val="24"/>
          <w:shd w:val="clear" w:color="auto" w:fill="FFFFFF"/>
        </w:rPr>
        <w:t>późn</w:t>
      </w:r>
      <w:proofErr w:type="spellEnd"/>
      <w:r>
        <w:rPr>
          <w:rFonts w:cstheme="minorHAnsi"/>
          <w:color w:val="333333"/>
          <w:sz w:val="24"/>
          <w:szCs w:val="24"/>
          <w:shd w:val="clear" w:color="auto" w:fill="FFFFFF"/>
        </w:rPr>
        <w:t xml:space="preserve">. zm.) nie uważa się za okres zatrudnienia w szczególnych warunkach, o którym mowa w art. 184 ust. 1 pkt 1 w związku z art. 32 ustawy z dnia 17 grudnia 1998 r. o emeryturach i rentach z Funduszu Ubezpieczeń Społecznych (tekst jedn.: Dz. U. z 2018 r. poz. 1270 z </w:t>
      </w:r>
      <w:proofErr w:type="spellStart"/>
      <w:r>
        <w:rPr>
          <w:rFonts w:cstheme="minorHAnsi"/>
          <w:color w:val="333333"/>
          <w:sz w:val="24"/>
          <w:szCs w:val="24"/>
          <w:shd w:val="clear" w:color="auto" w:fill="FFFFFF"/>
        </w:rPr>
        <w:t>późn</w:t>
      </w:r>
      <w:proofErr w:type="spellEnd"/>
      <w:r>
        <w:rPr>
          <w:rFonts w:cstheme="minorHAnsi"/>
          <w:color w:val="333333"/>
          <w:sz w:val="24"/>
          <w:szCs w:val="24"/>
          <w:shd w:val="clear" w:color="auto" w:fill="FFFFFF"/>
        </w:rPr>
        <w:t>. zm.).</w:t>
      </w:r>
    </w:p>
    <w:p w14:paraId="081B4D7E" w14:textId="77777777" w:rsidR="00581B04" w:rsidRDefault="00581B04" w:rsidP="00581B04">
      <w:pPr>
        <w:spacing w:after="0" w:line="240" w:lineRule="auto"/>
        <w:ind w:firstLine="708"/>
        <w:jc w:val="both"/>
        <w:rPr>
          <w:rFonts w:cstheme="minorHAnsi"/>
          <w:b/>
          <w:color w:val="333333"/>
          <w:sz w:val="24"/>
          <w:szCs w:val="24"/>
          <w:shd w:val="clear" w:color="auto" w:fill="FFFFFF"/>
        </w:rPr>
      </w:pPr>
      <w:r>
        <w:rPr>
          <w:rFonts w:cstheme="minorHAnsi"/>
          <w:b/>
          <w:color w:val="333333"/>
          <w:sz w:val="24"/>
          <w:szCs w:val="24"/>
          <w:shd w:val="clear" w:color="auto" w:fill="FFFFFF"/>
        </w:rPr>
        <w:t>Postanowienie SN z 17 czerwca 2021 r., II USK 225/21</w:t>
      </w:r>
    </w:p>
    <w:p w14:paraId="1A7893F2" w14:textId="77777777" w:rsidR="00581B04" w:rsidRDefault="00581B04" w:rsidP="00581B04">
      <w:pPr>
        <w:spacing w:after="0" w:line="240" w:lineRule="auto"/>
        <w:ind w:firstLine="708"/>
        <w:jc w:val="both"/>
        <w:rPr>
          <w:rFonts w:cstheme="minorHAnsi"/>
          <w:color w:val="333333"/>
          <w:sz w:val="24"/>
          <w:szCs w:val="24"/>
          <w:shd w:val="clear" w:color="auto" w:fill="FFFFFF"/>
        </w:rPr>
      </w:pPr>
      <w:r>
        <w:rPr>
          <w:rFonts w:cstheme="minorHAnsi"/>
          <w:color w:val="333333"/>
          <w:sz w:val="24"/>
          <w:szCs w:val="24"/>
          <w:shd w:val="clear" w:color="auto" w:fill="FFFFFF"/>
        </w:rPr>
        <w:t>Zatrudnienie traktorzysty przy pracach polowych w rolnictwie nie stanowi pracy w szczególnych warunkach z wykazu A, dział VIII, poz. 3 do rozporządzenia z 7 lutego 1983 r. w sprawie wieku emerytalnego pracowników zatrudnionych w szczególnych warunkach lub w szczególnym charakterze, czyli pracy kierowcy ciągnika w transporcie (wyrok Sądu Najwyższego z dnia 16 grudnia 2016 r., II UK 512/15, LEX nr 2202499). Prace kierowcy ciągnika w transporcie i w rolnictwie - mimo podobieństw - nie są tożsame, a w konsekwencji różny jest stopień narażenia osób wykonujących te prace na ekspozycję czynników szkodliwych dla zdrowia w obydwu wymienionych branżach (wyrok Sądu Najwyższego z dnia 20 kwietnia 2017 r., I UK 154/16, LEX nr 2305919). Nie można uznać, że praca traktorzysty jest zawsze pracą "w transporcie", także wówczas, gdy kierujący niczego nie transportuje, lecz wykonuje przy pomocy ciągnika rolniczego prace polowe (np. sieje, orze, nawozi, spulchnia glebę, wykonuje opryski itp.) bądź zajmuje w czasie zimy odśnieżaniem i posypywaniem dróg (wyrok Sądu Najwyższego z dnia 23 lutego 2017 r., I UK 45/16, LEX nr 2297415).</w:t>
      </w:r>
    </w:p>
    <w:p w14:paraId="1ED07518" w14:textId="77777777" w:rsidR="00581B04" w:rsidRDefault="00581B04" w:rsidP="00581B04">
      <w:pPr>
        <w:spacing w:after="0" w:line="240" w:lineRule="auto"/>
        <w:ind w:firstLine="708"/>
        <w:jc w:val="both"/>
        <w:rPr>
          <w:rFonts w:cstheme="minorHAnsi"/>
          <w:b/>
          <w:color w:val="333333"/>
          <w:sz w:val="24"/>
          <w:szCs w:val="24"/>
          <w:shd w:val="clear" w:color="auto" w:fill="FFFFFF"/>
        </w:rPr>
      </w:pPr>
      <w:r>
        <w:rPr>
          <w:rFonts w:cstheme="minorHAnsi"/>
          <w:b/>
          <w:color w:val="333333"/>
          <w:sz w:val="24"/>
          <w:szCs w:val="24"/>
          <w:shd w:val="clear" w:color="auto" w:fill="FFFFFF"/>
        </w:rPr>
        <w:t>Wyrok SN z 5 października 2011 r., II UK 43/11</w:t>
      </w:r>
    </w:p>
    <w:p w14:paraId="3E28ECD1" w14:textId="77777777" w:rsidR="00581B04" w:rsidRDefault="00581B04" w:rsidP="00581B04">
      <w:pPr>
        <w:spacing w:after="0" w:line="240" w:lineRule="auto"/>
        <w:ind w:firstLine="708"/>
        <w:jc w:val="both"/>
        <w:rPr>
          <w:rFonts w:cstheme="minorHAnsi"/>
          <w:color w:val="333333"/>
          <w:sz w:val="24"/>
          <w:szCs w:val="24"/>
          <w:shd w:val="clear" w:color="auto" w:fill="FFFFFF"/>
        </w:rPr>
      </w:pPr>
      <w:r>
        <w:rPr>
          <w:rFonts w:cstheme="minorHAnsi"/>
          <w:color w:val="333333"/>
          <w:sz w:val="24"/>
          <w:szCs w:val="24"/>
          <w:shd w:val="clear" w:color="auto" w:fill="FFFFFF"/>
        </w:rPr>
        <w:t>Treść świadectwa pracy oraz świadectwa pracy w szczególnych warunkach może być podważana w każdy sposób. Dokonana przez pracodawcę w świadectwie pracy w szczególnych warunkach ocena charakteru zatrudnienia pracownika nie jest dla sądu wiążąca, dokument ten podlega co do swojej wiarygodności i mocy dowodowej takiej samej ocenie, jak każdy inny dowód (art. 233 § 1 k.p.c.).</w:t>
      </w:r>
    </w:p>
    <w:p w14:paraId="4311D243" w14:textId="77777777" w:rsidR="00581B04" w:rsidRDefault="00581B04" w:rsidP="00581B04">
      <w:pPr>
        <w:spacing w:after="0" w:line="240" w:lineRule="auto"/>
        <w:ind w:firstLine="708"/>
        <w:jc w:val="both"/>
        <w:rPr>
          <w:rFonts w:cstheme="minorHAnsi"/>
          <w:b/>
          <w:color w:val="333333"/>
          <w:sz w:val="24"/>
          <w:szCs w:val="24"/>
          <w:shd w:val="clear" w:color="auto" w:fill="FFFFFF"/>
        </w:rPr>
      </w:pPr>
      <w:r>
        <w:rPr>
          <w:rFonts w:cstheme="minorHAnsi"/>
          <w:b/>
          <w:color w:val="333333"/>
          <w:sz w:val="24"/>
          <w:szCs w:val="24"/>
          <w:shd w:val="clear" w:color="auto" w:fill="FFFFFF"/>
        </w:rPr>
        <w:t xml:space="preserve">Wyrok SA w Warszawie z 21 sierpnia 2019 r., I </w:t>
      </w:r>
      <w:proofErr w:type="spellStart"/>
      <w:r>
        <w:rPr>
          <w:rFonts w:cstheme="minorHAnsi"/>
          <w:b/>
          <w:color w:val="333333"/>
          <w:sz w:val="24"/>
          <w:szCs w:val="24"/>
          <w:shd w:val="clear" w:color="auto" w:fill="FFFFFF"/>
        </w:rPr>
        <w:t>ACa</w:t>
      </w:r>
      <w:proofErr w:type="spellEnd"/>
      <w:r>
        <w:rPr>
          <w:rFonts w:cstheme="minorHAnsi"/>
          <w:b/>
          <w:color w:val="333333"/>
          <w:sz w:val="24"/>
          <w:szCs w:val="24"/>
          <w:shd w:val="clear" w:color="auto" w:fill="FFFFFF"/>
        </w:rPr>
        <w:t xml:space="preserve"> 441/18</w:t>
      </w:r>
    </w:p>
    <w:p w14:paraId="1DBC20FE" w14:textId="77777777" w:rsidR="00581B04" w:rsidRDefault="00581B04" w:rsidP="00581B04">
      <w:pPr>
        <w:spacing w:after="0" w:line="240" w:lineRule="auto"/>
        <w:ind w:firstLine="708"/>
        <w:jc w:val="both"/>
        <w:rPr>
          <w:rFonts w:cstheme="minorHAnsi"/>
          <w:color w:val="333333"/>
          <w:sz w:val="24"/>
          <w:szCs w:val="24"/>
          <w:shd w:val="clear" w:color="auto" w:fill="FFFFFF"/>
        </w:rPr>
      </w:pPr>
      <w:r>
        <w:rPr>
          <w:rFonts w:cstheme="minorHAnsi"/>
          <w:color w:val="333333"/>
          <w:sz w:val="24"/>
          <w:szCs w:val="24"/>
          <w:shd w:val="clear" w:color="auto" w:fill="FFFFFF"/>
        </w:rPr>
        <w:lastRenderedPageBreak/>
        <w:t xml:space="preserve">Przepis art. 242 k.p.c. określa termin oczekiwania na możliwość przeprowadzenia dowodu i ma zastosowanie do przeszkody usuwalnej, która jednak jest rozciągnięta w czasie. Sąd </w:t>
      </w:r>
      <w:proofErr w:type="spellStart"/>
      <w:r>
        <w:rPr>
          <w:rFonts w:cstheme="minorHAnsi"/>
          <w:color w:val="333333"/>
          <w:sz w:val="24"/>
          <w:szCs w:val="24"/>
          <w:shd w:val="clear" w:color="auto" w:fill="FFFFFF"/>
        </w:rPr>
        <w:t>meriti</w:t>
      </w:r>
      <w:proofErr w:type="spellEnd"/>
      <w:r>
        <w:rPr>
          <w:rFonts w:cstheme="minorHAnsi"/>
          <w:color w:val="333333"/>
          <w:sz w:val="24"/>
          <w:szCs w:val="24"/>
          <w:shd w:val="clear" w:color="auto" w:fill="FFFFFF"/>
        </w:rPr>
        <w:t xml:space="preserve"> może oznaczyć termin (i może to uczynić w dowolny sposób), po upływie którego odstępuje od przeprowadzenia tego dowodu. Prekluzja określona w art. 242 k.p.c. jest uprawnieniem sądu, a bezskuteczny upływ ustalonego przez sąd terminu pociąga za sobą utratę środka dowodowego i podlega rygorom przewidzianym w art. 6 k.c.</w:t>
      </w:r>
    </w:p>
    <w:p w14:paraId="554A8325" w14:textId="77777777" w:rsidR="00581B04" w:rsidRDefault="00581B04" w:rsidP="00581B04">
      <w:pPr>
        <w:rPr>
          <w:sz w:val="24"/>
          <w:szCs w:val="24"/>
        </w:rPr>
      </w:pPr>
    </w:p>
    <w:p w14:paraId="6394D762" w14:textId="77777777" w:rsidR="008548AD" w:rsidRDefault="008548AD"/>
    <w:sectPr w:rsidR="00854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04"/>
    <w:rsid w:val="00581B04"/>
    <w:rsid w:val="00854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C9EB"/>
  <w15:chartTrackingRefBased/>
  <w15:docId w15:val="{9D6BD56F-09D7-49F1-90AE-B6719BCD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B04"/>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3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3540</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Szynal</dc:creator>
  <cp:keywords/>
  <dc:description/>
  <cp:lastModifiedBy>Grzegorz Szynal</cp:lastModifiedBy>
  <cp:revision>1</cp:revision>
  <dcterms:created xsi:type="dcterms:W3CDTF">2023-01-30T16:07:00Z</dcterms:created>
  <dcterms:modified xsi:type="dcterms:W3CDTF">2023-01-30T16:08:00Z</dcterms:modified>
</cp:coreProperties>
</file>